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52"/>
          <w:szCs w:val="52"/>
          <w:highlight w:val="none"/>
        </w:rPr>
      </w:pPr>
    </w:p>
    <w:p>
      <w:pPr>
        <w:widowControl/>
        <w:jc w:val="left"/>
        <w:rPr>
          <w:color w:val="auto"/>
          <w:sz w:val="52"/>
          <w:szCs w:val="52"/>
          <w:highlight w:val="none"/>
        </w:rPr>
      </w:pPr>
    </w:p>
    <w:p>
      <w:pPr>
        <w:widowControl/>
        <w:jc w:val="left"/>
        <w:rPr>
          <w:color w:val="auto"/>
          <w:sz w:val="52"/>
          <w:szCs w:val="52"/>
          <w:highlight w:val="none"/>
        </w:rPr>
      </w:pPr>
    </w:p>
    <w:p>
      <w:pPr>
        <w:widowControl/>
        <w:jc w:val="left"/>
        <w:rPr>
          <w:color w:val="auto"/>
          <w:sz w:val="52"/>
          <w:szCs w:val="52"/>
          <w:highlight w:val="none"/>
        </w:rPr>
      </w:pPr>
    </w:p>
    <w:p>
      <w:pPr>
        <w:widowControl/>
        <w:jc w:val="left"/>
        <w:rPr>
          <w:color w:val="auto"/>
          <w:sz w:val="52"/>
          <w:szCs w:val="52"/>
          <w:highlight w:val="none"/>
        </w:rPr>
      </w:pPr>
    </w:p>
    <w:p>
      <w:pPr>
        <w:spacing w:line="480" w:lineRule="auto"/>
        <w:jc w:val="center"/>
        <w:rPr>
          <w:rFonts w:ascii="Times New Roman" w:hAnsi="Times New Roman"/>
          <w:b/>
          <w:color w:val="auto"/>
          <w:sz w:val="48"/>
          <w:szCs w:val="48"/>
          <w:highlight w:val="none"/>
        </w:rPr>
      </w:pPr>
      <w:bookmarkStart w:id="0" w:name="OLE_LINK1"/>
      <w:r>
        <w:rPr>
          <w:rFonts w:hint="eastAsia" w:ascii="Times New Roman" w:hAnsi="Times New Roman"/>
          <w:b/>
          <w:color w:val="auto"/>
          <w:sz w:val="48"/>
          <w:szCs w:val="48"/>
          <w:highlight w:val="none"/>
          <w:lang w:val="en-US" w:eastAsia="zh-CN"/>
        </w:rPr>
        <w:t>抚顺高新技术产业开发区燃气专项</w:t>
      </w:r>
      <w:r>
        <w:rPr>
          <w:rFonts w:hint="eastAsia" w:ascii="Times New Roman" w:hAnsi="Times New Roman"/>
          <w:b/>
          <w:color w:val="auto"/>
          <w:sz w:val="48"/>
          <w:szCs w:val="48"/>
          <w:highlight w:val="none"/>
        </w:rPr>
        <w:t>规划</w:t>
      </w:r>
      <w:bookmarkEnd w:id="0"/>
      <w:r>
        <w:rPr>
          <w:rFonts w:hint="eastAsia" w:ascii="Times New Roman" w:hAnsi="Times New Roman"/>
          <w:b/>
          <w:color w:val="auto"/>
          <w:sz w:val="48"/>
          <w:szCs w:val="48"/>
          <w:highlight w:val="none"/>
        </w:rPr>
        <w:t>（</w:t>
      </w:r>
      <w:r>
        <w:rPr>
          <w:rFonts w:hint="eastAsia" w:ascii="Times New Roman" w:hAnsi="Times New Roman"/>
          <w:b/>
          <w:color w:val="auto"/>
          <w:sz w:val="48"/>
          <w:szCs w:val="48"/>
          <w:highlight w:val="none"/>
          <w:lang w:val="en-US" w:eastAsia="zh-CN"/>
        </w:rPr>
        <w:t>2023-2035</w:t>
      </w:r>
      <w:r>
        <w:rPr>
          <w:rFonts w:hint="eastAsia" w:ascii="Times New Roman" w:hAnsi="Times New Roman"/>
          <w:b/>
          <w:color w:val="auto"/>
          <w:sz w:val="48"/>
          <w:szCs w:val="48"/>
          <w:highlight w:val="none"/>
        </w:rPr>
        <w:t>年）</w:t>
      </w:r>
    </w:p>
    <w:p>
      <w:pPr>
        <w:spacing w:line="480" w:lineRule="auto"/>
        <w:jc w:val="center"/>
        <w:rPr>
          <w:rFonts w:hint="eastAsia" w:ascii="Times New Roman" w:hAnsi="Times New Roman" w:eastAsiaTheme="minorEastAsia"/>
          <w:b/>
          <w:color w:val="auto"/>
          <w:sz w:val="48"/>
          <w:szCs w:val="48"/>
          <w:highlight w:val="none"/>
          <w:lang w:eastAsia="zh-CN"/>
        </w:rPr>
      </w:pPr>
      <w:r>
        <w:rPr>
          <w:rFonts w:hint="eastAsia" w:ascii="方正仿宋简体" w:hAnsi="方正仿宋简体" w:eastAsia="方正仿宋简体" w:cs="方正仿宋简体"/>
          <w:sz w:val="32"/>
          <w:szCs w:val="32"/>
          <w:lang w:val="en-US" w:eastAsia="zh-CN"/>
        </w:rPr>
        <w:t>（征求意见稿）</w:t>
      </w:r>
    </w:p>
    <w:p>
      <w:pPr>
        <w:spacing w:line="480" w:lineRule="auto"/>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第一册：文 本</w:t>
      </w:r>
      <w:bookmarkStart w:id="107" w:name="_GoBack"/>
      <w:bookmarkEnd w:id="107"/>
    </w:p>
    <w:p>
      <w:pPr>
        <w:widowControl/>
        <w:jc w:val="left"/>
        <w:rPr>
          <w:color w:val="auto"/>
          <w:sz w:val="52"/>
          <w:szCs w:val="52"/>
          <w:highlight w:val="none"/>
        </w:rPr>
      </w:pPr>
    </w:p>
    <w:p>
      <w:pPr>
        <w:widowControl/>
        <w:jc w:val="left"/>
        <w:rPr>
          <w:color w:val="auto"/>
          <w:sz w:val="52"/>
          <w:szCs w:val="52"/>
          <w:highlight w:val="none"/>
        </w:rPr>
      </w:pPr>
    </w:p>
    <w:p>
      <w:pPr>
        <w:widowControl/>
        <w:jc w:val="left"/>
        <w:rPr>
          <w:color w:val="auto"/>
          <w:sz w:val="52"/>
          <w:szCs w:val="52"/>
          <w:highlight w:val="none"/>
        </w:rPr>
      </w:pPr>
    </w:p>
    <w:p>
      <w:pPr>
        <w:widowControl/>
        <w:jc w:val="left"/>
        <w:rPr>
          <w:color w:val="auto"/>
          <w:sz w:val="52"/>
          <w:szCs w:val="52"/>
          <w:highlight w:val="none"/>
        </w:rPr>
      </w:pPr>
    </w:p>
    <w:p>
      <w:pPr>
        <w:widowControl/>
        <w:jc w:val="left"/>
        <w:rPr>
          <w:color w:val="auto"/>
          <w:sz w:val="52"/>
          <w:szCs w:val="52"/>
          <w:highlight w:val="none"/>
        </w:rPr>
      </w:pPr>
    </w:p>
    <w:p>
      <w:pPr>
        <w:widowControl/>
        <w:jc w:val="left"/>
        <w:rPr>
          <w:color w:val="auto"/>
          <w:sz w:val="52"/>
          <w:szCs w:val="52"/>
          <w:highlight w:val="none"/>
        </w:rPr>
      </w:pPr>
    </w:p>
    <w:p>
      <w:pPr>
        <w:widowControl/>
        <w:jc w:val="left"/>
        <w:rPr>
          <w:color w:val="auto"/>
          <w:sz w:val="52"/>
          <w:szCs w:val="52"/>
          <w:highlight w:val="none"/>
        </w:rPr>
      </w:pPr>
    </w:p>
    <w:p>
      <w:pPr>
        <w:spacing w:line="360" w:lineRule="auto"/>
        <w:ind w:firstLine="7710" w:firstLineChars="2400"/>
        <w:jc w:val="both"/>
        <w:rPr>
          <w:rFonts w:hint="default" w:ascii="Times New Roman" w:hAnsi="Times New Roman" w:eastAsiaTheme="minorEastAsia"/>
          <w:b/>
          <w:color w:val="auto"/>
          <w:sz w:val="32"/>
          <w:szCs w:val="32"/>
          <w:highlight w:val="none"/>
          <w:u w:val="single"/>
          <w:lang w:val="en-US" w:eastAsia="zh-CN"/>
        </w:rPr>
      </w:pPr>
      <w:r>
        <w:rPr>
          <w:rFonts w:hint="eastAsia" w:ascii="Times New Roman" w:hAnsi="Times New Roman"/>
          <w:b/>
          <w:color w:val="auto"/>
          <w:sz w:val="32"/>
          <w:szCs w:val="32"/>
          <w:highlight w:val="none"/>
        </w:rPr>
        <w:t>资质证书</w:t>
      </w:r>
      <w:r>
        <w:rPr>
          <w:rFonts w:ascii="Times New Roman" w:hAnsi="Times New Roman"/>
          <w:b/>
          <w:color w:val="auto"/>
          <w:sz w:val="32"/>
          <w:szCs w:val="32"/>
          <w:highlight w:val="none"/>
        </w:rPr>
        <w:t>：</w:t>
      </w:r>
      <w:r>
        <w:rPr>
          <w:rFonts w:hint="eastAsia" w:ascii="Times New Roman" w:hAnsi="Times New Roman"/>
          <w:b/>
          <w:color w:val="auto"/>
          <w:sz w:val="32"/>
          <w:szCs w:val="32"/>
          <w:highlight w:val="none"/>
          <w:u w:val="single"/>
        </w:rPr>
        <w:t xml:space="preserve">  </w:t>
      </w:r>
      <w:r>
        <w:rPr>
          <w:rFonts w:hint="eastAsia" w:ascii="Times New Roman" w:hAnsi="Times New Roman"/>
          <w:b/>
          <w:color w:val="auto"/>
          <w:sz w:val="32"/>
          <w:szCs w:val="32"/>
          <w:highlight w:val="none"/>
          <w:u w:val="single"/>
          <w:lang w:val="en-US" w:eastAsia="zh-CN"/>
        </w:rPr>
        <w:t xml:space="preserve">  </w:t>
      </w:r>
      <w:r>
        <w:rPr>
          <w:rFonts w:hint="eastAsia" w:ascii="Times New Roman" w:hAnsi="Times New Roman"/>
          <w:b/>
          <w:color w:val="auto"/>
          <w:sz w:val="32"/>
          <w:szCs w:val="32"/>
          <w:highlight w:val="none"/>
          <w:u w:val="single"/>
        </w:rPr>
        <w:t>城乡规划（乙级）</w:t>
      </w:r>
      <w:r>
        <w:rPr>
          <w:rFonts w:hint="eastAsia" w:ascii="Times New Roman" w:hAnsi="Times New Roman"/>
          <w:b/>
          <w:color w:val="auto"/>
          <w:sz w:val="32"/>
          <w:szCs w:val="32"/>
          <w:highlight w:val="none"/>
          <w:u w:val="single"/>
          <w:lang w:val="en-US" w:eastAsia="zh-CN"/>
        </w:rPr>
        <w:t xml:space="preserve">    </w:t>
      </w:r>
    </w:p>
    <w:p>
      <w:pPr>
        <w:spacing w:line="360" w:lineRule="auto"/>
        <w:ind w:firstLine="7710" w:firstLineChars="2400"/>
        <w:jc w:val="both"/>
        <w:rPr>
          <w:rFonts w:hint="default" w:ascii="Times New Roman" w:hAnsi="Times New Roman"/>
          <w:b/>
          <w:color w:val="auto"/>
          <w:sz w:val="32"/>
          <w:szCs w:val="32"/>
          <w:highlight w:val="none"/>
          <w:u w:val="single"/>
          <w:lang w:val="en-US"/>
        </w:rPr>
      </w:pPr>
      <w:r>
        <w:rPr>
          <w:rFonts w:ascii="Times New Roman" w:hAnsi="Times New Roman"/>
          <w:b/>
          <w:color w:val="auto"/>
          <w:sz w:val="32"/>
          <w:szCs w:val="32"/>
          <w:highlight w:val="none"/>
        </w:rPr>
        <w:t>证书编号：</w:t>
      </w:r>
      <w:r>
        <w:rPr>
          <w:rFonts w:hint="eastAsia" w:ascii="Times New Roman" w:hAnsi="Times New Roman"/>
          <w:b/>
          <w:color w:val="auto"/>
          <w:sz w:val="32"/>
          <w:szCs w:val="32"/>
          <w:highlight w:val="none"/>
          <w:u w:val="single"/>
          <w:lang w:val="en-US" w:eastAsia="zh-CN"/>
        </w:rPr>
        <w:t xml:space="preserve">  </w:t>
      </w:r>
      <w:r>
        <w:rPr>
          <w:rFonts w:hint="eastAsia" w:ascii="Times New Roman" w:hAnsi="Times New Roman"/>
          <w:b/>
          <w:color w:val="auto"/>
          <w:sz w:val="32"/>
          <w:szCs w:val="32"/>
          <w:highlight w:val="none"/>
          <w:u w:val="single"/>
        </w:rPr>
        <w:t>辽</w:t>
      </w:r>
      <w:r>
        <w:rPr>
          <w:rFonts w:hint="eastAsia" w:ascii="Times New Roman" w:hAnsi="Times New Roman"/>
          <w:b/>
          <w:color w:val="auto"/>
          <w:sz w:val="32"/>
          <w:szCs w:val="32"/>
          <w:highlight w:val="none"/>
          <w:u w:val="single"/>
          <w:lang w:val="en-US" w:eastAsia="zh-CN"/>
        </w:rPr>
        <w:t xml:space="preserve">自资规乙字23210020  </w:t>
      </w:r>
    </w:p>
    <w:p>
      <w:pPr>
        <w:spacing w:line="360" w:lineRule="auto"/>
        <w:jc w:val="center"/>
        <w:rPr>
          <w:rFonts w:hint="default" w:ascii="Times New Roman" w:hAnsi="Times New Roman" w:eastAsiaTheme="minorEastAsia"/>
          <w:b/>
          <w:color w:val="auto"/>
          <w:sz w:val="32"/>
          <w:szCs w:val="32"/>
          <w:highlight w:val="none"/>
          <w:lang w:val="en-US" w:eastAsia="zh-CN"/>
        </w:rPr>
      </w:pPr>
      <w:r>
        <w:rPr>
          <w:rFonts w:hint="eastAsia" w:ascii="Times New Roman" w:hAnsi="Times New Roman"/>
          <w:b/>
          <w:color w:val="auto"/>
          <w:sz w:val="32"/>
          <w:szCs w:val="32"/>
          <w:highlight w:val="none"/>
          <w:lang w:val="en-US" w:eastAsia="zh-CN"/>
        </w:rPr>
        <w:t>辽宁城建设计院有限公司</w:t>
      </w:r>
    </w:p>
    <w:p>
      <w:pPr>
        <w:widowControl/>
        <w:spacing w:line="360" w:lineRule="auto"/>
        <w:jc w:val="center"/>
        <w:rPr>
          <w:color w:val="auto"/>
          <w:sz w:val="52"/>
          <w:szCs w:val="52"/>
          <w:highlight w:val="none"/>
        </w:rPr>
      </w:pPr>
      <w:r>
        <w:rPr>
          <w:rFonts w:ascii="Times New Roman" w:hAnsi="Times New Roman"/>
          <w:b/>
          <w:color w:val="auto"/>
          <w:sz w:val="30"/>
          <w:szCs w:val="30"/>
          <w:highlight w:val="none"/>
        </w:rPr>
        <w:t>二</w:t>
      </w:r>
      <w:r>
        <w:rPr>
          <w:rFonts w:hint="eastAsia" w:ascii="Times New Roman" w:hAnsi="Times New Roman"/>
          <w:b/>
          <w:color w:val="auto"/>
          <w:sz w:val="30"/>
          <w:szCs w:val="30"/>
          <w:highlight w:val="none"/>
          <w:lang w:val="en-US" w:eastAsia="zh-CN"/>
        </w:rPr>
        <w:t>〇</w:t>
      </w:r>
      <w:r>
        <w:rPr>
          <w:rFonts w:ascii="Times New Roman" w:hAnsi="Times New Roman"/>
          <w:b/>
          <w:color w:val="auto"/>
          <w:sz w:val="30"/>
          <w:szCs w:val="30"/>
          <w:highlight w:val="none"/>
        </w:rPr>
        <w:t>二</w:t>
      </w:r>
      <w:r>
        <w:rPr>
          <w:rFonts w:hint="eastAsia" w:ascii="Times New Roman" w:hAnsi="Times New Roman"/>
          <w:b/>
          <w:color w:val="auto"/>
          <w:sz w:val="30"/>
          <w:szCs w:val="30"/>
          <w:highlight w:val="none"/>
          <w:lang w:val="en-US" w:eastAsia="zh-CN"/>
        </w:rPr>
        <w:t>五</w:t>
      </w:r>
      <w:r>
        <w:rPr>
          <w:rFonts w:ascii="Times New Roman" w:hAnsi="Times New Roman"/>
          <w:b/>
          <w:color w:val="auto"/>
          <w:sz w:val="30"/>
          <w:szCs w:val="30"/>
          <w:highlight w:val="none"/>
        </w:rPr>
        <w:t>年</w:t>
      </w:r>
      <w:r>
        <w:rPr>
          <w:rFonts w:hint="eastAsia" w:ascii="Times New Roman" w:hAnsi="Times New Roman"/>
          <w:b/>
          <w:color w:val="auto"/>
          <w:sz w:val="30"/>
          <w:szCs w:val="30"/>
          <w:highlight w:val="none"/>
          <w:lang w:val="en-US" w:eastAsia="zh-CN"/>
        </w:rPr>
        <w:t>四</w:t>
      </w:r>
      <w:r>
        <w:rPr>
          <w:rFonts w:ascii="Times New Roman" w:hAnsi="Times New Roman"/>
          <w:b/>
          <w:color w:val="auto"/>
          <w:sz w:val="30"/>
          <w:szCs w:val="30"/>
          <w:highlight w:val="none"/>
        </w:rPr>
        <w:t>月</w:t>
      </w:r>
    </w:p>
    <w:p>
      <w:pPr>
        <w:rPr>
          <w:color w:val="auto"/>
          <w:highlight w:val="none"/>
        </w:rPr>
      </w:pPr>
    </w:p>
    <w:p>
      <w:pPr>
        <w:tabs>
          <w:tab w:val="left" w:pos="14535"/>
        </w:tabs>
        <w:rPr>
          <w:color w:val="auto"/>
          <w:highlight w:val="none"/>
        </w:rPr>
      </w:pPr>
      <w:r>
        <w:rPr>
          <w:color w:val="auto"/>
          <w:highlight w:val="none"/>
        </w:rPr>
        <w:tab/>
      </w:r>
    </w:p>
    <w:p>
      <w:pPr>
        <w:tabs>
          <w:tab w:val="left" w:pos="14535"/>
        </w:tabs>
        <w:rPr>
          <w:color w:val="auto"/>
          <w:highlight w:val="none"/>
        </w:rPr>
      </w:pPr>
    </w:p>
    <w:p>
      <w:pPr>
        <w:tabs>
          <w:tab w:val="left" w:pos="14535"/>
        </w:tabs>
        <w:rPr>
          <w:color w:val="auto"/>
          <w:highlight w:val="none"/>
        </w:rPr>
      </w:pPr>
    </w:p>
    <w:p>
      <w:pPr>
        <w:tabs>
          <w:tab w:val="left" w:pos="14535"/>
        </w:tabs>
        <w:rPr>
          <w:color w:val="auto"/>
          <w:highlight w:val="none"/>
        </w:rPr>
      </w:pPr>
    </w:p>
    <w:p>
      <w:pPr>
        <w:tabs>
          <w:tab w:val="left" w:pos="14535"/>
        </w:tabs>
        <w:rPr>
          <w:color w:val="auto"/>
          <w:highlight w:val="none"/>
        </w:rPr>
      </w:pPr>
    </w:p>
    <w:p>
      <w:pPr>
        <w:widowControl/>
        <w:jc w:val="center"/>
        <w:rPr>
          <w:rFonts w:ascii="Times New Roman" w:hAnsi="Times New Roman" w:eastAsia="宋体" w:cs="Times New Roman"/>
          <w:color w:val="auto"/>
          <w:sz w:val="28"/>
          <w:szCs w:val="28"/>
          <w:highlight w:val="none"/>
        </w:rPr>
        <w:sectPr>
          <w:pgSz w:w="23811" w:h="16838" w:orient="landscape"/>
          <w:pgMar w:top="1440" w:right="1440" w:bottom="1440" w:left="1440" w:header="851" w:footer="992" w:gutter="0"/>
          <w:pgBorders w:offsetFrom="page">
            <w:top w:val="none" w:sz="0" w:space="0"/>
            <w:left w:val="none" w:sz="0" w:space="0"/>
            <w:bottom w:val="none" w:sz="0" w:space="0"/>
            <w:right w:val="none" w:sz="0" w:space="0"/>
          </w:pgBorders>
          <w:pgNumType w:start="1"/>
          <w:cols w:space="425" w:num="1"/>
          <w:docGrid w:linePitch="312" w:charSpace="0"/>
        </w:sectPr>
      </w:pPr>
    </w:p>
    <w:p>
      <w:pPr>
        <w:widowControl/>
        <w:jc w:val="left"/>
        <w:rPr>
          <w:rFonts w:ascii="Times New Roman" w:hAnsi="Times New Roman" w:eastAsia="宋体" w:cs="Times New Roman"/>
          <w:color w:val="auto"/>
          <w:sz w:val="28"/>
          <w:szCs w:val="28"/>
          <w:highlight w:val="none"/>
        </w:rPr>
        <w:sectPr>
          <w:pgSz w:w="23811" w:h="16838" w:orient="landscape"/>
          <w:pgMar w:top="1440" w:right="1440" w:bottom="1440" w:left="1440" w:header="851" w:footer="992" w:gutter="0"/>
          <w:pgBorders w:offsetFrom="page">
            <w:top w:val="none" w:sz="0" w:space="0"/>
            <w:left w:val="none" w:sz="0" w:space="0"/>
            <w:bottom w:val="none" w:sz="0" w:space="0"/>
            <w:right w:val="none" w:sz="0" w:space="0"/>
          </w:pgBorders>
          <w:pgNumType w:start="1"/>
          <w:cols w:space="425" w:num="1"/>
          <w:docGrid w:linePitch="312" w:charSpace="0"/>
        </w:sectPr>
      </w:pPr>
    </w:p>
    <w:p>
      <w:pPr>
        <w:rPr>
          <w:color w:val="auto"/>
          <w:highlight w:val="none"/>
        </w:rPr>
        <w:sectPr>
          <w:headerReference r:id="rId3" w:type="default"/>
          <w:type w:val="continuous"/>
          <w:pgSz w:w="23811" w:h="16838" w:orient="landscape"/>
          <w:pgMar w:top="1440" w:right="1440" w:bottom="1440" w:left="1440" w:header="851" w:footer="992" w:gutter="0"/>
          <w:pgBorders w:offsetFrom="page">
            <w:top w:val="none" w:sz="0" w:space="0"/>
            <w:left w:val="none" w:sz="0" w:space="0"/>
            <w:bottom w:val="none" w:sz="0" w:space="0"/>
            <w:right w:val="none" w:sz="0" w:space="0"/>
          </w:pgBorders>
          <w:cols w:equalWidth="0" w:num="2">
            <w:col w:w="10253" w:space="425"/>
            <w:col w:w="10253"/>
          </w:cols>
          <w:docGrid w:type="lines" w:linePitch="312" w:charSpace="0"/>
        </w:sectPr>
      </w:pPr>
      <w:r>
        <w:rPr>
          <w:color w:val="auto"/>
          <w:highlight w:val="none"/>
        </w:rPr>
        <w:drawing>
          <wp:anchor distT="0" distB="0" distL="114300" distR="114300" simplePos="0" relativeHeight="251659264" behindDoc="0" locked="0" layoutInCell="1" allowOverlap="1">
            <wp:simplePos x="0" y="0"/>
            <wp:positionH relativeFrom="column">
              <wp:posOffset>1426210</wp:posOffset>
            </wp:positionH>
            <wp:positionV relativeFrom="paragraph">
              <wp:posOffset>420370</wp:posOffset>
            </wp:positionV>
            <wp:extent cx="10354310" cy="7302500"/>
            <wp:effectExtent l="0" t="0" r="8890" b="12700"/>
            <wp:wrapNone/>
            <wp:docPr id="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true"/>
                    </pic:cNvPicPr>
                  </pic:nvPicPr>
                  <pic:blipFill>
                    <a:blip r:embed="rId10"/>
                    <a:stretch>
                      <a:fillRect/>
                    </a:stretch>
                  </pic:blipFill>
                  <pic:spPr>
                    <a:xfrm>
                      <a:off x="0" y="0"/>
                      <a:ext cx="10354310" cy="7302500"/>
                    </a:xfrm>
                    <a:prstGeom prst="rect">
                      <a:avLst/>
                    </a:prstGeom>
                    <a:noFill/>
                    <a:ln>
                      <a:noFill/>
                    </a:ln>
                  </pic:spPr>
                </pic:pic>
              </a:graphicData>
            </a:graphic>
          </wp:anchor>
        </w:drawing>
      </w:r>
    </w:p>
    <w:p>
      <w:pPr>
        <w:spacing w:line="360" w:lineRule="auto"/>
        <w:jc w:val="both"/>
        <w:rPr>
          <w:b/>
          <w:bCs/>
          <w:color w:val="auto"/>
          <w:sz w:val="44"/>
          <w:szCs w:val="52"/>
          <w:highlight w:val="none"/>
        </w:rPr>
      </w:pP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b/>
          <w:bCs/>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line="720" w:lineRule="auto"/>
        <w:ind w:firstLine="1285" w:firstLineChars="400"/>
        <w:textAlignment w:val="auto"/>
        <w:rPr>
          <w:rFonts w:hint="eastAsia"/>
          <w:b/>
          <w:bCs/>
          <w:color w:val="auto"/>
          <w:sz w:val="32"/>
          <w:szCs w:val="40"/>
          <w:highlight w:val="none"/>
        </w:rPr>
      </w:pPr>
      <w:r>
        <w:rPr>
          <w:rFonts w:hint="eastAsia"/>
          <w:b/>
          <w:bCs/>
          <w:color w:val="auto"/>
          <w:sz w:val="32"/>
          <w:szCs w:val="40"/>
          <w:highlight w:val="none"/>
        </w:rPr>
        <w:t>工艺审核</w:t>
      </w:r>
      <w:r>
        <w:rPr>
          <w:rFonts w:hint="eastAsia"/>
          <w:b/>
          <w:bCs/>
          <w:color w:val="auto"/>
          <w:sz w:val="32"/>
          <w:szCs w:val="40"/>
          <w:highlight w:val="none"/>
          <w:lang w:val="en-US" w:eastAsia="zh-CN"/>
        </w:rPr>
        <w:t>人</w:t>
      </w:r>
      <w:r>
        <w:rPr>
          <w:rFonts w:hint="eastAsia"/>
          <w:b/>
          <w:bCs/>
          <w:color w:val="auto"/>
          <w:sz w:val="32"/>
          <w:szCs w:val="40"/>
          <w:highlight w:val="none"/>
        </w:rPr>
        <w:t>：</w:t>
      </w:r>
    </w:p>
    <w:p>
      <w:pPr>
        <w:keepNext w:val="0"/>
        <w:keepLines w:val="0"/>
        <w:pageBreakBefore w:val="0"/>
        <w:widowControl w:val="0"/>
        <w:kinsoku/>
        <w:wordWrap/>
        <w:overflowPunct/>
        <w:topLinePunct w:val="0"/>
        <w:autoSpaceDE/>
        <w:autoSpaceDN/>
        <w:bidi w:val="0"/>
        <w:adjustRightInd/>
        <w:snapToGrid/>
        <w:spacing w:line="720" w:lineRule="auto"/>
        <w:ind w:firstLine="1285" w:firstLineChars="400"/>
        <w:textAlignment w:val="auto"/>
        <w:rPr>
          <w:rFonts w:hint="eastAsia"/>
          <w:b/>
          <w:bCs/>
          <w:color w:val="auto"/>
          <w:sz w:val="32"/>
          <w:szCs w:val="40"/>
          <w:highlight w:val="none"/>
        </w:rPr>
      </w:pPr>
      <w:r>
        <w:rPr>
          <w:rFonts w:hint="eastAsia"/>
          <w:b/>
          <w:bCs/>
          <w:color w:val="auto"/>
          <w:sz w:val="32"/>
          <w:szCs w:val="40"/>
          <w:highlight w:val="none"/>
        </w:rPr>
        <w:t>工艺校核</w:t>
      </w:r>
      <w:r>
        <w:rPr>
          <w:rFonts w:hint="eastAsia"/>
          <w:b/>
          <w:bCs/>
          <w:color w:val="auto"/>
          <w:sz w:val="32"/>
          <w:szCs w:val="40"/>
          <w:highlight w:val="none"/>
          <w:lang w:val="en-US" w:eastAsia="zh-CN"/>
        </w:rPr>
        <w:t>人</w:t>
      </w:r>
      <w:r>
        <w:rPr>
          <w:rFonts w:hint="eastAsia"/>
          <w:b/>
          <w:bCs/>
          <w:color w:val="auto"/>
          <w:sz w:val="32"/>
          <w:szCs w:val="40"/>
          <w:highlight w:val="none"/>
        </w:rPr>
        <w:t>：</w:t>
      </w:r>
    </w:p>
    <w:p>
      <w:pPr>
        <w:keepNext w:val="0"/>
        <w:keepLines w:val="0"/>
        <w:pageBreakBefore w:val="0"/>
        <w:widowControl w:val="0"/>
        <w:kinsoku/>
        <w:wordWrap/>
        <w:overflowPunct/>
        <w:topLinePunct w:val="0"/>
        <w:autoSpaceDE/>
        <w:autoSpaceDN/>
        <w:bidi w:val="0"/>
        <w:adjustRightInd/>
        <w:snapToGrid/>
        <w:spacing w:line="720" w:lineRule="auto"/>
        <w:ind w:firstLine="1285" w:firstLineChars="400"/>
        <w:textAlignment w:val="auto"/>
        <w:rPr>
          <w:rFonts w:hint="eastAsia"/>
          <w:b/>
          <w:bCs/>
          <w:color w:val="auto"/>
          <w:sz w:val="32"/>
          <w:szCs w:val="40"/>
          <w:highlight w:val="none"/>
        </w:rPr>
      </w:pPr>
      <w:r>
        <w:rPr>
          <w:rFonts w:hint="eastAsia"/>
          <w:b/>
          <w:bCs/>
          <w:color w:val="auto"/>
          <w:sz w:val="32"/>
          <w:szCs w:val="40"/>
          <w:highlight w:val="none"/>
        </w:rPr>
        <w:t>工艺编制人：</w:t>
      </w:r>
    </w:p>
    <w:p>
      <w:pPr>
        <w:keepNext w:val="0"/>
        <w:keepLines w:val="0"/>
        <w:pageBreakBefore w:val="0"/>
        <w:widowControl w:val="0"/>
        <w:kinsoku/>
        <w:wordWrap/>
        <w:overflowPunct/>
        <w:topLinePunct w:val="0"/>
        <w:autoSpaceDE/>
        <w:autoSpaceDN/>
        <w:bidi w:val="0"/>
        <w:adjustRightInd/>
        <w:snapToGrid/>
        <w:spacing w:line="720" w:lineRule="auto"/>
        <w:ind w:firstLine="1285" w:firstLineChars="400"/>
        <w:textAlignment w:val="auto"/>
        <w:rPr>
          <w:rFonts w:hint="eastAsia"/>
          <w:b/>
          <w:bCs/>
          <w:color w:val="auto"/>
          <w:sz w:val="32"/>
          <w:szCs w:val="40"/>
          <w:highlight w:val="none"/>
        </w:rPr>
      </w:pPr>
      <w:r>
        <w:rPr>
          <w:rFonts w:hint="eastAsia"/>
          <w:b/>
          <w:bCs/>
          <w:color w:val="auto"/>
          <w:sz w:val="32"/>
          <w:szCs w:val="40"/>
          <w:highlight w:val="none"/>
        </w:rPr>
        <w:t>经济审核人：</w:t>
      </w:r>
    </w:p>
    <w:p>
      <w:pPr>
        <w:keepNext w:val="0"/>
        <w:keepLines w:val="0"/>
        <w:pageBreakBefore w:val="0"/>
        <w:widowControl w:val="0"/>
        <w:kinsoku/>
        <w:wordWrap/>
        <w:overflowPunct/>
        <w:topLinePunct w:val="0"/>
        <w:autoSpaceDE/>
        <w:autoSpaceDN/>
        <w:bidi w:val="0"/>
        <w:adjustRightInd/>
        <w:snapToGrid/>
        <w:spacing w:line="720" w:lineRule="auto"/>
        <w:ind w:firstLine="1285" w:firstLineChars="400"/>
        <w:textAlignment w:val="auto"/>
        <w:rPr>
          <w:rFonts w:hint="eastAsia"/>
          <w:b/>
          <w:bCs/>
          <w:color w:val="auto"/>
          <w:sz w:val="32"/>
          <w:szCs w:val="40"/>
          <w:highlight w:val="none"/>
        </w:rPr>
      </w:pPr>
      <w:r>
        <w:rPr>
          <w:rFonts w:hint="eastAsia"/>
          <w:b/>
          <w:bCs/>
          <w:color w:val="auto"/>
          <w:sz w:val="32"/>
          <w:szCs w:val="40"/>
          <w:highlight w:val="none"/>
        </w:rPr>
        <w:t>经济校核人：</w:t>
      </w:r>
    </w:p>
    <w:p>
      <w:pPr>
        <w:keepNext w:val="0"/>
        <w:keepLines w:val="0"/>
        <w:pageBreakBefore w:val="0"/>
        <w:widowControl w:val="0"/>
        <w:kinsoku/>
        <w:wordWrap/>
        <w:overflowPunct/>
        <w:topLinePunct w:val="0"/>
        <w:autoSpaceDE/>
        <w:autoSpaceDN/>
        <w:bidi w:val="0"/>
        <w:adjustRightInd/>
        <w:snapToGrid/>
        <w:spacing w:line="720" w:lineRule="auto"/>
        <w:ind w:firstLine="1285" w:firstLineChars="400"/>
        <w:textAlignment w:val="auto"/>
        <w:rPr>
          <w:rFonts w:hint="eastAsia"/>
          <w:b/>
          <w:bCs/>
          <w:color w:val="auto"/>
          <w:sz w:val="32"/>
          <w:szCs w:val="40"/>
          <w:highlight w:val="none"/>
        </w:rPr>
      </w:pPr>
      <w:r>
        <w:rPr>
          <w:rFonts w:hint="eastAsia"/>
          <w:b/>
          <w:bCs/>
          <w:color w:val="auto"/>
          <w:sz w:val="32"/>
          <w:szCs w:val="40"/>
          <w:highlight w:val="none"/>
        </w:rPr>
        <w:t>经济编制人：</w:t>
      </w:r>
    </w:p>
    <w:p>
      <w:pPr>
        <w:spacing w:line="360" w:lineRule="auto"/>
        <w:rPr>
          <w:b/>
          <w:bCs/>
          <w:color w:val="auto"/>
          <w:sz w:val="44"/>
          <w:szCs w:val="5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b/>
          <w:bCs/>
          <w:color w:val="auto"/>
          <w:sz w:val="44"/>
          <w:szCs w:val="5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b/>
          <w:bCs/>
          <w:color w:val="auto"/>
          <w:sz w:val="44"/>
          <w:szCs w:val="5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b/>
          <w:bCs/>
          <w:color w:val="auto"/>
          <w:sz w:val="44"/>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sectPr>
          <w:headerReference r:id="rId4" w:type="default"/>
          <w:footerReference r:id="rId5" w:type="default"/>
          <w:pgSz w:w="23811" w:h="16838" w:orient="landscape"/>
          <w:pgMar w:top="1440" w:right="1440" w:bottom="1440" w:left="1440" w:header="851" w:footer="992" w:gutter="0"/>
          <w:pgBorders w:offsetFrom="page">
            <w:top w:val="none" w:sz="0" w:space="0"/>
            <w:left w:val="none" w:sz="0" w:space="0"/>
            <w:bottom w:val="none" w:sz="0" w:space="0"/>
            <w:right w:val="none" w:sz="0" w:space="0"/>
          </w:pgBorders>
          <w:cols w:equalWidth="0" w:num="2">
            <w:col w:w="10253" w:space="425"/>
            <w:col w:w="10253"/>
          </w:cols>
          <w:docGrid w:type="lines" w:linePitch="312" w:charSpace="0"/>
        </w:sectPr>
      </w:pPr>
    </w:p>
    <w:p>
      <w:pPr>
        <w:jc w:val="center"/>
        <w:rPr>
          <w:b/>
          <w:bCs/>
          <w:color w:val="auto"/>
          <w:sz w:val="32"/>
          <w:szCs w:val="32"/>
          <w:highlight w:val="none"/>
        </w:rPr>
      </w:pPr>
      <w:r>
        <w:rPr>
          <w:rFonts w:hint="eastAsia"/>
          <w:b/>
          <w:bCs/>
          <w:color w:val="auto"/>
          <w:sz w:val="32"/>
          <w:szCs w:val="32"/>
          <w:highlight w:val="none"/>
        </w:rPr>
        <w:t xml:space="preserve">目 </w:t>
      </w:r>
      <w:r>
        <w:rPr>
          <w:b/>
          <w:bCs/>
          <w:color w:val="auto"/>
          <w:sz w:val="32"/>
          <w:szCs w:val="32"/>
          <w:highlight w:val="none"/>
        </w:rPr>
        <w:t xml:space="preserve"> </w:t>
      </w:r>
      <w:r>
        <w:rPr>
          <w:rFonts w:hint="eastAsia"/>
          <w:b/>
          <w:bCs/>
          <w:color w:val="auto"/>
          <w:sz w:val="32"/>
          <w:szCs w:val="32"/>
          <w:highlight w:val="none"/>
        </w:rPr>
        <w:t>录</w:t>
      </w:r>
    </w:p>
    <w:p>
      <w:pPr>
        <w:pStyle w:val="19"/>
        <w:tabs>
          <w:tab w:val="right" w:leader="dot" w:pos="10253"/>
        </w:tabs>
      </w:pPr>
      <w:r>
        <w:rPr>
          <w:b w:val="0"/>
          <w:color w:val="auto"/>
          <w:sz w:val="24"/>
          <w:highlight w:val="none"/>
        </w:rPr>
        <w:fldChar w:fldCharType="begin"/>
      </w:r>
      <w:r>
        <w:rPr>
          <w:b w:val="0"/>
          <w:color w:val="auto"/>
          <w:sz w:val="24"/>
          <w:highlight w:val="none"/>
        </w:rPr>
        <w:instrText xml:space="preserve"> TOC \o "1-3" \h \z \u </w:instrText>
      </w:r>
      <w:r>
        <w:rPr>
          <w:b w:val="0"/>
          <w:color w:val="auto"/>
          <w:sz w:val="24"/>
          <w:highlight w:val="none"/>
        </w:rPr>
        <w:fldChar w:fldCharType="separate"/>
      </w:r>
      <w:r>
        <w:rPr>
          <w:color w:val="auto"/>
          <w:highlight w:val="none"/>
        </w:rPr>
        <w:fldChar w:fldCharType="begin"/>
      </w:r>
      <w:r>
        <w:rPr>
          <w:highlight w:val="none"/>
        </w:rPr>
        <w:instrText xml:space="preserve"> HYPERLINK \l _Toc15114 </w:instrText>
      </w:r>
      <w:r>
        <w:rPr>
          <w:highlight w:val="none"/>
        </w:rPr>
        <w:fldChar w:fldCharType="separate"/>
      </w:r>
      <w:r>
        <w:rPr>
          <w:rFonts w:hint="eastAsia"/>
          <w:highlight w:val="none"/>
        </w:rPr>
        <w:t>第一章  总  则</w:t>
      </w:r>
      <w:r>
        <w:tab/>
      </w:r>
      <w:r>
        <w:fldChar w:fldCharType="begin"/>
      </w:r>
      <w:r>
        <w:instrText xml:space="preserve"> PAGEREF _Toc15114 \h </w:instrText>
      </w:r>
      <w:r>
        <w:fldChar w:fldCharType="separate"/>
      </w:r>
      <w:r>
        <w:t>1</w:t>
      </w:r>
      <w:r>
        <w:fldChar w:fldCharType="end"/>
      </w:r>
      <w:r>
        <w:rPr>
          <w:color w:val="auto"/>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_Toc13114 </w:instrText>
      </w:r>
      <w:r>
        <w:rPr>
          <w:rFonts w:ascii="Times New Roman" w:hAnsi="Times New Roman" w:eastAsia="宋体" w:cs="Times New Roman"/>
          <w:kern w:val="0"/>
          <w:szCs w:val="22"/>
          <w:highlight w:val="none"/>
        </w:rPr>
        <w:fldChar w:fldCharType="separate"/>
      </w:r>
      <w:r>
        <w:rPr>
          <w:rFonts w:hint="eastAsia"/>
          <w:highlight w:val="none"/>
          <w:lang w:val="en-US" w:eastAsia="zh-CN"/>
        </w:rPr>
        <w:t>第一条：规划背景</w:t>
      </w:r>
      <w:r>
        <w:tab/>
      </w:r>
      <w:r>
        <w:fldChar w:fldCharType="begin"/>
      </w:r>
      <w:r>
        <w:instrText xml:space="preserve"> PAGEREF _Toc13114 \h </w:instrText>
      </w:r>
      <w:r>
        <w:fldChar w:fldCharType="separate"/>
      </w:r>
      <w:r>
        <w:t>1</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_Toc29726 </w:instrText>
      </w:r>
      <w:r>
        <w:rPr>
          <w:rFonts w:ascii="Times New Roman" w:hAnsi="Times New Roman" w:eastAsia="宋体" w:cs="Times New Roman"/>
          <w:kern w:val="0"/>
          <w:szCs w:val="22"/>
          <w:highlight w:val="none"/>
        </w:rPr>
        <w:fldChar w:fldCharType="separate"/>
      </w:r>
      <w:r>
        <w:rPr>
          <w:highlight w:val="none"/>
        </w:rPr>
        <w:t>第</w:t>
      </w:r>
      <w:r>
        <w:rPr>
          <w:rFonts w:hint="eastAsia"/>
          <w:highlight w:val="none"/>
          <w:lang w:val="en-US" w:eastAsia="zh-CN"/>
        </w:rPr>
        <w:t>二</w:t>
      </w:r>
      <w:r>
        <w:rPr>
          <w:highlight w:val="none"/>
        </w:rPr>
        <w:t>条：</w:t>
      </w:r>
      <w:r>
        <w:rPr>
          <w:rFonts w:hint="eastAsia"/>
          <w:highlight w:val="none"/>
        </w:rPr>
        <w:t>规划目的</w:t>
      </w:r>
      <w:r>
        <w:tab/>
      </w:r>
      <w:r>
        <w:fldChar w:fldCharType="begin"/>
      </w:r>
      <w:r>
        <w:instrText xml:space="preserve"> PAGEREF _Toc29726 \h </w:instrText>
      </w:r>
      <w:r>
        <w:fldChar w:fldCharType="separate"/>
      </w:r>
      <w:r>
        <w:t>3</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_Toc28684 </w:instrText>
      </w:r>
      <w:r>
        <w:rPr>
          <w:rFonts w:ascii="Times New Roman" w:hAnsi="Times New Roman" w:eastAsia="宋体" w:cs="Times New Roman"/>
          <w:kern w:val="0"/>
          <w:szCs w:val="22"/>
          <w:highlight w:val="none"/>
        </w:rPr>
        <w:fldChar w:fldCharType="separate"/>
      </w:r>
      <w:r>
        <w:rPr>
          <w:highlight w:val="none"/>
        </w:rPr>
        <w:t>第</w:t>
      </w:r>
      <w:r>
        <w:rPr>
          <w:rFonts w:hint="eastAsia"/>
          <w:highlight w:val="none"/>
          <w:lang w:val="en-US" w:eastAsia="zh-CN"/>
        </w:rPr>
        <w:t>三</w:t>
      </w:r>
      <w:r>
        <w:rPr>
          <w:highlight w:val="none"/>
        </w:rPr>
        <w:t>条：指导思想</w:t>
      </w:r>
      <w:r>
        <w:tab/>
      </w:r>
      <w:r>
        <w:fldChar w:fldCharType="begin"/>
      </w:r>
      <w:r>
        <w:instrText xml:space="preserve"> PAGEREF _Toc28684 \h </w:instrText>
      </w:r>
      <w:r>
        <w:fldChar w:fldCharType="separate"/>
      </w:r>
      <w:r>
        <w:t>3</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_Toc20387 </w:instrText>
      </w:r>
      <w:r>
        <w:rPr>
          <w:rFonts w:ascii="Times New Roman" w:hAnsi="Times New Roman" w:eastAsia="宋体" w:cs="Times New Roman"/>
          <w:kern w:val="0"/>
          <w:szCs w:val="22"/>
          <w:highlight w:val="none"/>
        </w:rPr>
        <w:fldChar w:fldCharType="separate"/>
      </w:r>
      <w:r>
        <w:rPr>
          <w:highlight w:val="none"/>
        </w:rPr>
        <w:t>第</w:t>
      </w:r>
      <w:r>
        <w:rPr>
          <w:rFonts w:hint="eastAsia"/>
          <w:highlight w:val="none"/>
          <w:lang w:val="en-US" w:eastAsia="zh-CN"/>
        </w:rPr>
        <w:t>四</w:t>
      </w:r>
      <w:r>
        <w:rPr>
          <w:highlight w:val="none"/>
        </w:rPr>
        <w:t>条：规划原则</w:t>
      </w:r>
      <w:r>
        <w:tab/>
      </w:r>
      <w:r>
        <w:fldChar w:fldCharType="begin"/>
      </w:r>
      <w:r>
        <w:instrText xml:space="preserve"> PAGEREF _Toc20387 \h </w:instrText>
      </w:r>
      <w:r>
        <w:fldChar w:fldCharType="separate"/>
      </w:r>
      <w:r>
        <w:t>3</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_Toc18729 </w:instrText>
      </w:r>
      <w:r>
        <w:rPr>
          <w:rFonts w:ascii="Times New Roman" w:hAnsi="Times New Roman" w:eastAsia="宋体" w:cs="Times New Roman"/>
          <w:kern w:val="0"/>
          <w:szCs w:val="22"/>
          <w:highlight w:val="none"/>
        </w:rPr>
        <w:fldChar w:fldCharType="separate"/>
      </w:r>
      <w:r>
        <w:rPr>
          <w:highlight w:val="none"/>
        </w:rPr>
        <w:t>第</w:t>
      </w:r>
      <w:r>
        <w:rPr>
          <w:rFonts w:hint="eastAsia"/>
          <w:highlight w:val="none"/>
          <w:lang w:val="en-US" w:eastAsia="zh-CN"/>
        </w:rPr>
        <w:t>五</w:t>
      </w:r>
      <w:r>
        <w:rPr>
          <w:highlight w:val="none"/>
        </w:rPr>
        <w:t>条：规划依据</w:t>
      </w:r>
      <w:r>
        <w:tab/>
      </w:r>
      <w:r>
        <w:fldChar w:fldCharType="begin"/>
      </w:r>
      <w:r>
        <w:instrText xml:space="preserve"> PAGEREF _Toc18729 \h </w:instrText>
      </w:r>
      <w:r>
        <w:fldChar w:fldCharType="separate"/>
      </w:r>
      <w:r>
        <w:t>4</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_Toc7272 </w:instrText>
      </w:r>
      <w:r>
        <w:rPr>
          <w:rFonts w:ascii="Times New Roman" w:hAnsi="Times New Roman" w:eastAsia="宋体" w:cs="Times New Roman"/>
          <w:kern w:val="0"/>
          <w:szCs w:val="22"/>
          <w:highlight w:val="none"/>
        </w:rPr>
        <w:fldChar w:fldCharType="separate"/>
      </w:r>
      <w:r>
        <w:rPr>
          <w:highlight w:val="none"/>
        </w:rPr>
        <w:t>第</w:t>
      </w:r>
      <w:r>
        <w:rPr>
          <w:rFonts w:hint="eastAsia"/>
          <w:highlight w:val="none"/>
          <w:lang w:val="en-US" w:eastAsia="zh-CN"/>
        </w:rPr>
        <w:t>六</w:t>
      </w:r>
      <w:r>
        <w:rPr>
          <w:highlight w:val="none"/>
        </w:rPr>
        <w:t>条：规划范围及期限</w:t>
      </w:r>
      <w:r>
        <w:tab/>
      </w:r>
      <w:r>
        <w:fldChar w:fldCharType="begin"/>
      </w:r>
      <w:r>
        <w:instrText xml:space="preserve"> PAGEREF _Toc7272 \h </w:instrText>
      </w:r>
      <w:r>
        <w:fldChar w:fldCharType="separate"/>
      </w:r>
      <w:r>
        <w:t>5</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_Toc2345 </w:instrText>
      </w:r>
      <w:r>
        <w:rPr>
          <w:rFonts w:ascii="Times New Roman" w:hAnsi="Times New Roman" w:eastAsia="宋体" w:cs="Times New Roman"/>
          <w:kern w:val="0"/>
          <w:szCs w:val="22"/>
          <w:highlight w:val="none"/>
        </w:rPr>
        <w:fldChar w:fldCharType="separate"/>
      </w:r>
      <w:r>
        <w:rPr>
          <w:highlight w:val="none"/>
        </w:rPr>
        <w:t>第</w:t>
      </w:r>
      <w:r>
        <w:rPr>
          <w:rFonts w:hint="eastAsia"/>
          <w:highlight w:val="none"/>
          <w:lang w:val="en-US" w:eastAsia="zh-CN"/>
        </w:rPr>
        <w:t>七</w:t>
      </w:r>
      <w:r>
        <w:rPr>
          <w:highlight w:val="none"/>
        </w:rPr>
        <w:t>条：规划目标</w:t>
      </w:r>
      <w:r>
        <w:tab/>
      </w:r>
      <w:r>
        <w:fldChar w:fldCharType="begin"/>
      </w:r>
      <w:r>
        <w:instrText xml:space="preserve"> PAGEREF _Toc2345 \h </w:instrText>
      </w:r>
      <w:r>
        <w:fldChar w:fldCharType="separate"/>
      </w:r>
      <w:r>
        <w:t>5</w:t>
      </w:r>
      <w:r>
        <w:fldChar w:fldCharType="end"/>
      </w:r>
      <w:r>
        <w:rPr>
          <w:rFonts w:ascii="Times New Roman" w:hAnsi="Times New Roman" w:eastAsia="宋体" w:cs="Times New Roman"/>
          <w:color w:val="auto"/>
          <w:kern w:val="0"/>
          <w:szCs w:val="22"/>
          <w:highlight w:val="none"/>
        </w:rPr>
        <w:fldChar w:fldCharType="end"/>
      </w:r>
    </w:p>
    <w:p>
      <w:pPr>
        <w:pStyle w:val="19"/>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_Toc23965 </w:instrText>
      </w:r>
      <w:r>
        <w:rPr>
          <w:rFonts w:ascii="Times New Roman" w:hAnsi="Times New Roman" w:eastAsia="宋体" w:cs="Times New Roman"/>
          <w:kern w:val="0"/>
          <w:szCs w:val="22"/>
          <w:highlight w:val="none"/>
        </w:rPr>
        <w:fldChar w:fldCharType="separate"/>
      </w:r>
      <w:r>
        <w:rPr>
          <w:rFonts w:hint="eastAsia"/>
          <w:highlight w:val="none"/>
        </w:rPr>
        <w:t>第</w:t>
      </w:r>
      <w:r>
        <w:rPr>
          <w:rFonts w:hint="eastAsia"/>
          <w:highlight w:val="none"/>
          <w:lang w:val="en-US" w:eastAsia="zh-CN"/>
        </w:rPr>
        <w:t>二</w:t>
      </w:r>
      <w:r>
        <w:rPr>
          <w:rFonts w:hint="eastAsia"/>
          <w:highlight w:val="none"/>
        </w:rPr>
        <w:t>章  燃气需求预测</w:t>
      </w:r>
      <w:r>
        <w:tab/>
      </w:r>
      <w:r>
        <w:fldChar w:fldCharType="begin"/>
      </w:r>
      <w:r>
        <w:instrText xml:space="preserve"> PAGEREF _Toc23965 \h </w:instrText>
      </w:r>
      <w:r>
        <w:fldChar w:fldCharType="separate"/>
      </w:r>
      <w:r>
        <w:t>6</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_Toc25995 </w:instrText>
      </w:r>
      <w:r>
        <w:rPr>
          <w:rFonts w:ascii="Times New Roman" w:hAnsi="Times New Roman" w:eastAsia="宋体" w:cs="Times New Roman"/>
          <w:kern w:val="0"/>
          <w:szCs w:val="22"/>
          <w:highlight w:val="none"/>
        </w:rPr>
        <w:fldChar w:fldCharType="separate"/>
      </w:r>
      <w:r>
        <w:rPr>
          <w:highlight w:val="none"/>
        </w:rPr>
        <w:t>第</w:t>
      </w:r>
      <w:r>
        <w:rPr>
          <w:rFonts w:hint="eastAsia"/>
          <w:highlight w:val="none"/>
          <w:lang w:val="en-US" w:eastAsia="zh-CN"/>
        </w:rPr>
        <w:t>八</w:t>
      </w:r>
      <w:r>
        <w:rPr>
          <w:highlight w:val="none"/>
        </w:rPr>
        <w:t>条：供气原则</w:t>
      </w:r>
      <w:r>
        <w:tab/>
      </w:r>
      <w:r>
        <w:fldChar w:fldCharType="begin"/>
      </w:r>
      <w:r>
        <w:instrText xml:space="preserve"> PAGEREF _Toc25995 \h </w:instrText>
      </w:r>
      <w:r>
        <w:fldChar w:fldCharType="separate"/>
      </w:r>
      <w:r>
        <w:t>6</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_Toc32140 </w:instrText>
      </w:r>
      <w:r>
        <w:rPr>
          <w:rFonts w:ascii="Times New Roman" w:hAnsi="Times New Roman" w:eastAsia="宋体" w:cs="Times New Roman"/>
          <w:kern w:val="0"/>
          <w:szCs w:val="22"/>
          <w:highlight w:val="none"/>
        </w:rPr>
        <w:fldChar w:fldCharType="separate"/>
      </w:r>
      <w:r>
        <w:rPr>
          <w:highlight w:val="none"/>
        </w:rPr>
        <w:t>第</w:t>
      </w:r>
      <w:r>
        <w:rPr>
          <w:rFonts w:hint="eastAsia"/>
          <w:highlight w:val="none"/>
          <w:lang w:val="en-US" w:eastAsia="zh-CN"/>
        </w:rPr>
        <w:t>九</w:t>
      </w:r>
      <w:r>
        <w:rPr>
          <w:highlight w:val="none"/>
        </w:rPr>
        <w:t>条：市场预测</w:t>
      </w:r>
      <w:r>
        <w:tab/>
      </w:r>
      <w:r>
        <w:fldChar w:fldCharType="begin"/>
      </w:r>
      <w:r>
        <w:instrText xml:space="preserve"> PAGEREF _Toc32140 \h </w:instrText>
      </w:r>
      <w:r>
        <w:fldChar w:fldCharType="separate"/>
      </w:r>
      <w:r>
        <w:t>6</w:t>
      </w:r>
      <w:r>
        <w:fldChar w:fldCharType="end"/>
      </w:r>
      <w:r>
        <w:rPr>
          <w:rFonts w:ascii="Times New Roman" w:hAnsi="Times New Roman" w:eastAsia="宋体" w:cs="Times New Roman"/>
          <w:color w:val="auto"/>
          <w:kern w:val="0"/>
          <w:szCs w:val="22"/>
          <w:highlight w:val="none"/>
        </w:rPr>
        <w:fldChar w:fldCharType="end"/>
      </w:r>
    </w:p>
    <w:p>
      <w:pPr>
        <w:pStyle w:val="19"/>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_Toc10007 </w:instrText>
      </w:r>
      <w:r>
        <w:rPr>
          <w:rFonts w:ascii="Times New Roman" w:hAnsi="Times New Roman" w:eastAsia="宋体" w:cs="Times New Roman"/>
          <w:kern w:val="0"/>
          <w:szCs w:val="22"/>
          <w:highlight w:val="none"/>
        </w:rPr>
        <w:fldChar w:fldCharType="separate"/>
      </w:r>
      <w:r>
        <w:rPr>
          <w:rFonts w:hint="eastAsia"/>
          <w:highlight w:val="none"/>
        </w:rPr>
        <w:t>第</w:t>
      </w:r>
      <w:r>
        <w:rPr>
          <w:rFonts w:hint="eastAsia"/>
          <w:highlight w:val="none"/>
          <w:lang w:val="en-US" w:eastAsia="zh-CN"/>
        </w:rPr>
        <w:t>三</w:t>
      </w:r>
      <w:r>
        <w:rPr>
          <w:rFonts w:hint="eastAsia"/>
          <w:highlight w:val="none"/>
        </w:rPr>
        <w:t xml:space="preserve">章 </w:t>
      </w:r>
      <w:r>
        <w:rPr>
          <w:highlight w:val="none"/>
        </w:rPr>
        <w:t xml:space="preserve"> </w:t>
      </w:r>
      <w:r>
        <w:rPr>
          <w:rFonts w:hint="eastAsia"/>
          <w:highlight w:val="none"/>
        </w:rPr>
        <w:t>气源规划</w:t>
      </w:r>
      <w:r>
        <w:tab/>
      </w:r>
      <w:r>
        <w:fldChar w:fldCharType="begin"/>
      </w:r>
      <w:r>
        <w:instrText xml:space="preserve"> PAGEREF _Toc10007 \h </w:instrText>
      </w:r>
      <w:r>
        <w:fldChar w:fldCharType="separate"/>
      </w:r>
      <w:r>
        <w:t>7</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_Toc4863 </w:instrText>
      </w:r>
      <w:r>
        <w:rPr>
          <w:rFonts w:ascii="Times New Roman" w:hAnsi="Times New Roman" w:eastAsia="宋体" w:cs="Times New Roman"/>
          <w:kern w:val="0"/>
          <w:szCs w:val="22"/>
          <w:highlight w:val="none"/>
        </w:rPr>
        <w:fldChar w:fldCharType="separate"/>
      </w:r>
      <w:r>
        <w:rPr>
          <w:rFonts w:ascii="Times New Roman" w:hAnsi="Times New Roman"/>
          <w:highlight w:val="none"/>
        </w:rPr>
        <w:t>第</w:t>
      </w:r>
      <w:r>
        <w:rPr>
          <w:rFonts w:hint="eastAsia" w:ascii="Times New Roman" w:hAnsi="Times New Roman"/>
          <w:highlight w:val="none"/>
          <w:lang w:val="en-US" w:eastAsia="zh-CN"/>
        </w:rPr>
        <w:t>十</w:t>
      </w:r>
      <w:r>
        <w:rPr>
          <w:rFonts w:ascii="Times New Roman" w:hAnsi="Times New Roman"/>
          <w:highlight w:val="none"/>
        </w:rPr>
        <w:t>条：可供气源来源</w:t>
      </w:r>
      <w:r>
        <w:tab/>
      </w:r>
      <w:r>
        <w:fldChar w:fldCharType="begin"/>
      </w:r>
      <w:r>
        <w:instrText xml:space="preserve"> PAGEREF _Toc4863 \h </w:instrText>
      </w:r>
      <w:r>
        <w:fldChar w:fldCharType="separate"/>
      </w:r>
      <w:r>
        <w:t>7</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_Toc7712 </w:instrText>
      </w:r>
      <w:r>
        <w:rPr>
          <w:rFonts w:ascii="Times New Roman" w:hAnsi="Times New Roman" w:eastAsia="宋体" w:cs="Times New Roman"/>
          <w:kern w:val="0"/>
          <w:szCs w:val="22"/>
          <w:highlight w:val="none"/>
        </w:rPr>
        <w:fldChar w:fldCharType="separate"/>
      </w:r>
      <w:r>
        <w:rPr>
          <w:rFonts w:hint="eastAsia"/>
          <w:highlight w:val="none"/>
        </w:rPr>
        <w:t>第十</w:t>
      </w:r>
      <w:r>
        <w:rPr>
          <w:rFonts w:hint="eastAsia"/>
          <w:highlight w:val="none"/>
          <w:lang w:val="en-US" w:eastAsia="zh-CN"/>
        </w:rPr>
        <w:t>一</w:t>
      </w:r>
      <w:r>
        <w:rPr>
          <w:rFonts w:hint="eastAsia"/>
          <w:highlight w:val="none"/>
        </w:rPr>
        <w:t>条：气源</w:t>
      </w:r>
      <w:r>
        <w:rPr>
          <w:rFonts w:hint="eastAsia"/>
          <w:highlight w:val="none"/>
          <w:lang w:val="en-US" w:eastAsia="zh-CN"/>
        </w:rPr>
        <w:t>规划</w:t>
      </w:r>
      <w:r>
        <w:tab/>
      </w:r>
      <w:r>
        <w:fldChar w:fldCharType="begin"/>
      </w:r>
      <w:r>
        <w:instrText xml:space="preserve"> PAGEREF _Toc7712 \h </w:instrText>
      </w:r>
      <w:r>
        <w:fldChar w:fldCharType="separate"/>
      </w:r>
      <w:r>
        <w:t>9</w:t>
      </w:r>
      <w:r>
        <w:fldChar w:fldCharType="end"/>
      </w:r>
      <w:r>
        <w:rPr>
          <w:rFonts w:ascii="Times New Roman" w:hAnsi="Times New Roman" w:eastAsia="宋体" w:cs="Times New Roman"/>
          <w:color w:val="auto"/>
          <w:kern w:val="0"/>
          <w:szCs w:val="22"/>
          <w:highlight w:val="none"/>
        </w:rPr>
        <w:fldChar w:fldCharType="end"/>
      </w:r>
    </w:p>
    <w:p>
      <w:pPr>
        <w:pStyle w:val="19"/>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_Toc14047 </w:instrText>
      </w:r>
      <w:r>
        <w:rPr>
          <w:rFonts w:ascii="Times New Roman" w:hAnsi="Times New Roman" w:eastAsia="宋体" w:cs="Times New Roman"/>
          <w:kern w:val="0"/>
          <w:szCs w:val="22"/>
          <w:highlight w:val="none"/>
        </w:rPr>
        <w:fldChar w:fldCharType="separate"/>
      </w:r>
      <w:r>
        <w:rPr>
          <w:rFonts w:hint="eastAsia"/>
          <w:highlight w:val="none"/>
        </w:rPr>
        <w:t xml:space="preserve">第四章 </w:t>
      </w:r>
      <w:r>
        <w:rPr>
          <w:highlight w:val="none"/>
        </w:rPr>
        <w:t xml:space="preserve"> </w:t>
      </w:r>
      <w:r>
        <w:rPr>
          <w:rFonts w:hint="eastAsia"/>
          <w:highlight w:val="none"/>
        </w:rPr>
        <w:t>燃气输配系统规划</w:t>
      </w:r>
      <w:r>
        <w:tab/>
      </w:r>
      <w:r>
        <w:fldChar w:fldCharType="begin"/>
      </w:r>
      <w:r>
        <w:instrText xml:space="preserve"> PAGEREF _Toc14047 \h </w:instrText>
      </w:r>
      <w:r>
        <w:fldChar w:fldCharType="separate"/>
      </w:r>
      <w:r>
        <w:t>9</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_Toc2605 </w:instrText>
      </w:r>
      <w:r>
        <w:rPr>
          <w:rFonts w:ascii="Times New Roman" w:hAnsi="Times New Roman" w:eastAsia="宋体" w:cs="Times New Roman"/>
          <w:kern w:val="0"/>
          <w:szCs w:val="22"/>
          <w:highlight w:val="none"/>
        </w:rPr>
        <w:fldChar w:fldCharType="separate"/>
      </w:r>
      <w:r>
        <w:rPr>
          <w:rFonts w:hint="eastAsia"/>
          <w:highlight w:val="none"/>
        </w:rPr>
        <w:t>第十</w:t>
      </w:r>
      <w:r>
        <w:rPr>
          <w:rFonts w:hint="eastAsia"/>
          <w:highlight w:val="none"/>
          <w:lang w:val="en-US" w:eastAsia="zh-CN"/>
        </w:rPr>
        <w:t>二</w:t>
      </w:r>
      <w:r>
        <w:rPr>
          <w:rFonts w:hint="eastAsia"/>
          <w:highlight w:val="none"/>
        </w:rPr>
        <w:t>条：输配系统总体方案</w:t>
      </w:r>
      <w:r>
        <w:tab/>
      </w:r>
      <w:r>
        <w:fldChar w:fldCharType="begin"/>
      </w:r>
      <w:r>
        <w:instrText xml:space="preserve"> PAGEREF _Toc2605 \h </w:instrText>
      </w:r>
      <w:r>
        <w:fldChar w:fldCharType="separate"/>
      </w:r>
      <w:r>
        <w:t>9</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_Toc5078 </w:instrText>
      </w:r>
      <w:r>
        <w:rPr>
          <w:rFonts w:ascii="Times New Roman" w:hAnsi="Times New Roman" w:eastAsia="宋体" w:cs="Times New Roman"/>
          <w:kern w:val="0"/>
          <w:szCs w:val="22"/>
          <w:highlight w:val="none"/>
        </w:rPr>
        <w:fldChar w:fldCharType="separate"/>
      </w:r>
      <w:r>
        <w:rPr>
          <w:rFonts w:hint="eastAsia"/>
          <w:highlight w:val="none"/>
        </w:rPr>
        <w:t>第十</w:t>
      </w:r>
      <w:r>
        <w:rPr>
          <w:rFonts w:hint="eastAsia"/>
          <w:highlight w:val="none"/>
          <w:lang w:val="en-US" w:eastAsia="zh-CN"/>
        </w:rPr>
        <w:t>三</w:t>
      </w:r>
      <w:r>
        <w:rPr>
          <w:rFonts w:hint="eastAsia"/>
          <w:highlight w:val="none"/>
        </w:rPr>
        <w:t>条：</w:t>
      </w:r>
      <w:r>
        <w:rPr>
          <w:rFonts w:hint="eastAsia"/>
          <w:highlight w:val="none"/>
          <w:lang w:val="en-US" w:eastAsia="zh-CN"/>
        </w:rPr>
        <w:t>次</w:t>
      </w:r>
      <w:r>
        <w:rPr>
          <w:rFonts w:hint="eastAsia"/>
          <w:highlight w:val="none"/>
        </w:rPr>
        <w:t>高压管道规划</w:t>
      </w:r>
      <w:r>
        <w:tab/>
      </w:r>
      <w:r>
        <w:fldChar w:fldCharType="begin"/>
      </w:r>
      <w:r>
        <w:instrText xml:space="preserve"> PAGEREF _Toc5078 \h </w:instrText>
      </w:r>
      <w:r>
        <w:fldChar w:fldCharType="separate"/>
      </w:r>
      <w:r>
        <w:t>9</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_Toc6030 </w:instrText>
      </w:r>
      <w:r>
        <w:rPr>
          <w:rFonts w:ascii="Times New Roman" w:hAnsi="Times New Roman" w:eastAsia="宋体" w:cs="Times New Roman"/>
          <w:kern w:val="0"/>
          <w:szCs w:val="22"/>
          <w:highlight w:val="none"/>
        </w:rPr>
        <w:fldChar w:fldCharType="separate"/>
      </w:r>
      <w:r>
        <w:rPr>
          <w:rFonts w:hint="eastAsia"/>
          <w:highlight w:val="none"/>
          <w:lang w:val="en-US" w:eastAsia="zh-CN" w:bidi="th-TH"/>
        </w:rPr>
        <w:t>第十四条：调压站</w:t>
      </w:r>
      <w:r>
        <w:tab/>
      </w:r>
      <w:r>
        <w:fldChar w:fldCharType="begin"/>
      </w:r>
      <w:r>
        <w:instrText xml:space="preserve"> PAGEREF _Toc6030 \h </w:instrText>
      </w:r>
      <w:r>
        <w:fldChar w:fldCharType="separate"/>
      </w:r>
      <w:r>
        <w:t>10</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_Toc26620 </w:instrText>
      </w:r>
      <w:r>
        <w:rPr>
          <w:rFonts w:ascii="Times New Roman" w:hAnsi="Times New Roman" w:eastAsia="宋体" w:cs="Times New Roman"/>
          <w:kern w:val="0"/>
          <w:szCs w:val="22"/>
          <w:highlight w:val="none"/>
        </w:rPr>
        <w:fldChar w:fldCharType="separate"/>
      </w:r>
      <w:r>
        <w:rPr>
          <w:rFonts w:hint="eastAsia"/>
          <w:highlight w:val="none"/>
          <w:lang w:val="en-US" w:eastAsia="zh-CN" w:bidi="th-TH"/>
        </w:rPr>
        <w:t>第十五条：CNG减压站和次高压调压站合建站</w:t>
      </w:r>
      <w:r>
        <w:tab/>
      </w:r>
      <w:r>
        <w:fldChar w:fldCharType="begin"/>
      </w:r>
      <w:r>
        <w:instrText xml:space="preserve"> PAGEREF _Toc26620 \h </w:instrText>
      </w:r>
      <w:r>
        <w:fldChar w:fldCharType="separate"/>
      </w:r>
      <w:r>
        <w:t>11</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_Toc27362 </w:instrText>
      </w:r>
      <w:r>
        <w:rPr>
          <w:rFonts w:ascii="Times New Roman" w:hAnsi="Times New Roman" w:eastAsia="宋体" w:cs="Times New Roman"/>
          <w:kern w:val="0"/>
          <w:szCs w:val="22"/>
          <w:highlight w:val="none"/>
        </w:rPr>
        <w:fldChar w:fldCharType="separate"/>
      </w:r>
      <w:r>
        <w:rPr>
          <w:rFonts w:hint="eastAsia"/>
          <w:highlight w:val="none"/>
          <w:lang w:bidi="th-TH"/>
        </w:rPr>
        <w:t>第十</w:t>
      </w:r>
      <w:r>
        <w:rPr>
          <w:rFonts w:hint="eastAsia"/>
          <w:highlight w:val="none"/>
          <w:lang w:val="en-US" w:eastAsia="zh-CN" w:bidi="th-TH"/>
        </w:rPr>
        <w:t>六</w:t>
      </w:r>
      <w:r>
        <w:rPr>
          <w:rFonts w:hint="eastAsia"/>
          <w:highlight w:val="none"/>
          <w:lang w:bidi="th-TH"/>
        </w:rPr>
        <w:t>条：LNG储配站规划</w:t>
      </w:r>
      <w:r>
        <w:tab/>
      </w:r>
      <w:r>
        <w:fldChar w:fldCharType="begin"/>
      </w:r>
      <w:r>
        <w:instrText xml:space="preserve"> PAGEREF _Toc27362 \h </w:instrText>
      </w:r>
      <w:r>
        <w:fldChar w:fldCharType="separate"/>
      </w:r>
      <w:r>
        <w:t>11</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_Toc12493 </w:instrText>
      </w:r>
      <w:r>
        <w:rPr>
          <w:rFonts w:ascii="Times New Roman" w:hAnsi="Times New Roman" w:eastAsia="宋体" w:cs="Times New Roman"/>
          <w:kern w:val="0"/>
          <w:szCs w:val="22"/>
          <w:highlight w:val="none"/>
        </w:rPr>
        <w:fldChar w:fldCharType="separate"/>
      </w:r>
      <w:r>
        <w:rPr>
          <w:rFonts w:hint="eastAsia"/>
          <w:highlight w:val="none"/>
        </w:rPr>
        <w:t>第</w:t>
      </w:r>
      <w:r>
        <w:rPr>
          <w:rFonts w:hint="eastAsia"/>
          <w:highlight w:val="none"/>
          <w:lang w:val="en-US" w:eastAsia="zh-CN"/>
        </w:rPr>
        <w:t>十七</w:t>
      </w:r>
      <w:r>
        <w:rPr>
          <w:rFonts w:hint="eastAsia"/>
          <w:highlight w:val="none"/>
        </w:rPr>
        <w:t>条：储气调峰设施规划</w:t>
      </w:r>
      <w:r>
        <w:tab/>
      </w:r>
      <w:r>
        <w:fldChar w:fldCharType="begin"/>
      </w:r>
      <w:r>
        <w:instrText xml:space="preserve"> PAGEREF _Toc12493 \h </w:instrText>
      </w:r>
      <w:r>
        <w:fldChar w:fldCharType="separate"/>
      </w:r>
      <w:r>
        <w:t>11</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_Toc12709 </w:instrText>
      </w:r>
      <w:r>
        <w:rPr>
          <w:rFonts w:ascii="Times New Roman" w:hAnsi="Times New Roman" w:eastAsia="宋体" w:cs="Times New Roman"/>
          <w:kern w:val="0"/>
          <w:szCs w:val="22"/>
          <w:highlight w:val="none"/>
        </w:rPr>
        <w:fldChar w:fldCharType="separate"/>
      </w:r>
      <w:r>
        <w:rPr>
          <w:rFonts w:hint="eastAsia"/>
          <w:highlight w:val="none"/>
        </w:rPr>
        <w:t>第</w:t>
      </w:r>
      <w:r>
        <w:rPr>
          <w:rFonts w:hint="eastAsia"/>
          <w:highlight w:val="none"/>
          <w:lang w:val="en-US" w:eastAsia="zh-CN"/>
        </w:rPr>
        <w:t>十八</w:t>
      </w:r>
      <w:r>
        <w:rPr>
          <w:rFonts w:hint="eastAsia"/>
          <w:highlight w:val="none"/>
        </w:rPr>
        <w:t>条：应急储备能力规划</w:t>
      </w:r>
      <w:r>
        <w:tab/>
      </w:r>
      <w:r>
        <w:fldChar w:fldCharType="begin"/>
      </w:r>
      <w:r>
        <w:instrText xml:space="preserve"> PAGEREF _Toc12709 \h </w:instrText>
      </w:r>
      <w:r>
        <w:fldChar w:fldCharType="separate"/>
      </w:r>
      <w:r>
        <w:t>12</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_Toc15361 </w:instrText>
      </w:r>
      <w:r>
        <w:rPr>
          <w:rFonts w:ascii="Times New Roman" w:hAnsi="Times New Roman" w:eastAsia="宋体" w:cs="Times New Roman"/>
          <w:kern w:val="0"/>
          <w:szCs w:val="22"/>
          <w:highlight w:val="none"/>
        </w:rPr>
        <w:fldChar w:fldCharType="separate"/>
      </w:r>
      <w:r>
        <w:rPr>
          <w:rFonts w:hint="eastAsia"/>
          <w:highlight w:val="none"/>
        </w:rPr>
        <w:t>第</w:t>
      </w:r>
      <w:r>
        <w:rPr>
          <w:rFonts w:hint="eastAsia"/>
          <w:highlight w:val="none"/>
          <w:lang w:val="en-US" w:eastAsia="zh-CN"/>
        </w:rPr>
        <w:t>十九</w:t>
      </w:r>
      <w:r>
        <w:rPr>
          <w:rFonts w:hint="eastAsia"/>
          <w:highlight w:val="none"/>
        </w:rPr>
        <w:t>条：中压管网规划</w:t>
      </w:r>
      <w:r>
        <w:tab/>
      </w:r>
      <w:r>
        <w:fldChar w:fldCharType="begin"/>
      </w:r>
      <w:r>
        <w:instrText xml:space="preserve"> PAGEREF _Toc15361 \h </w:instrText>
      </w:r>
      <w:r>
        <w:fldChar w:fldCharType="separate"/>
      </w:r>
      <w:r>
        <w:t>14</w:t>
      </w:r>
      <w:r>
        <w:fldChar w:fldCharType="end"/>
      </w:r>
      <w:r>
        <w:rPr>
          <w:rFonts w:ascii="Times New Roman" w:hAnsi="Times New Roman" w:eastAsia="宋体" w:cs="Times New Roman"/>
          <w:color w:val="auto"/>
          <w:kern w:val="0"/>
          <w:szCs w:val="22"/>
          <w:highlight w:val="none"/>
        </w:rPr>
        <w:fldChar w:fldCharType="end"/>
      </w:r>
    </w:p>
    <w:p>
      <w:pPr>
        <w:pStyle w:val="19"/>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_Toc10291 </w:instrText>
      </w:r>
      <w:r>
        <w:rPr>
          <w:rFonts w:ascii="Times New Roman" w:hAnsi="Times New Roman" w:eastAsia="宋体" w:cs="Times New Roman"/>
          <w:kern w:val="0"/>
          <w:szCs w:val="22"/>
          <w:highlight w:val="none"/>
        </w:rPr>
        <w:fldChar w:fldCharType="separate"/>
      </w:r>
      <w:r>
        <w:rPr>
          <w:rFonts w:hint="eastAsia"/>
          <w:highlight w:val="none"/>
        </w:rPr>
        <w:t>第</w:t>
      </w:r>
      <w:r>
        <w:rPr>
          <w:rFonts w:hint="eastAsia"/>
          <w:highlight w:val="none"/>
          <w:lang w:val="en-US" w:eastAsia="zh-CN"/>
        </w:rPr>
        <w:t>五</w:t>
      </w:r>
      <w:r>
        <w:rPr>
          <w:rFonts w:hint="eastAsia"/>
          <w:highlight w:val="none"/>
        </w:rPr>
        <w:t xml:space="preserve">章 </w:t>
      </w:r>
      <w:r>
        <w:rPr>
          <w:highlight w:val="none"/>
        </w:rPr>
        <w:t xml:space="preserve"> </w:t>
      </w:r>
      <w:r>
        <w:rPr>
          <w:rFonts w:hint="eastAsia"/>
          <w:highlight w:val="none"/>
        </w:rPr>
        <w:t>智慧燃气规划</w:t>
      </w:r>
      <w:r>
        <w:tab/>
      </w:r>
      <w:r>
        <w:fldChar w:fldCharType="begin"/>
      </w:r>
      <w:r>
        <w:instrText xml:space="preserve"> PAGEREF _Toc10291 \h </w:instrText>
      </w:r>
      <w:r>
        <w:fldChar w:fldCharType="separate"/>
      </w:r>
      <w:r>
        <w:t>14</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_Toc27646 </w:instrText>
      </w:r>
      <w:r>
        <w:rPr>
          <w:rFonts w:ascii="Times New Roman" w:hAnsi="Times New Roman" w:eastAsia="宋体" w:cs="Times New Roman"/>
          <w:kern w:val="0"/>
          <w:szCs w:val="22"/>
          <w:highlight w:val="none"/>
        </w:rPr>
        <w:fldChar w:fldCharType="separate"/>
      </w:r>
      <w:r>
        <w:rPr>
          <w:rFonts w:hint="eastAsia"/>
          <w:highlight w:val="none"/>
        </w:rPr>
        <w:t>第</w:t>
      </w:r>
      <w:r>
        <w:rPr>
          <w:rFonts w:hint="eastAsia"/>
          <w:highlight w:val="none"/>
          <w:lang w:val="en-US" w:eastAsia="zh-CN"/>
        </w:rPr>
        <w:t>二十</w:t>
      </w:r>
      <w:r>
        <w:rPr>
          <w:rFonts w:hint="eastAsia"/>
          <w:highlight w:val="none"/>
        </w:rPr>
        <w:t>条：智慧燃气规划</w:t>
      </w:r>
      <w:r>
        <w:tab/>
      </w:r>
      <w:r>
        <w:fldChar w:fldCharType="begin"/>
      </w:r>
      <w:r>
        <w:instrText xml:space="preserve"> PAGEREF _Toc27646 \h </w:instrText>
      </w:r>
      <w:r>
        <w:fldChar w:fldCharType="separate"/>
      </w:r>
      <w:r>
        <w:t>14</w:t>
      </w:r>
      <w:r>
        <w:fldChar w:fldCharType="end"/>
      </w:r>
      <w:r>
        <w:rPr>
          <w:rFonts w:ascii="Times New Roman" w:hAnsi="Times New Roman" w:eastAsia="宋体" w:cs="Times New Roman"/>
          <w:color w:val="auto"/>
          <w:kern w:val="0"/>
          <w:szCs w:val="22"/>
          <w:highlight w:val="none"/>
        </w:rPr>
        <w:fldChar w:fldCharType="end"/>
      </w:r>
    </w:p>
    <w:p>
      <w:pPr>
        <w:pStyle w:val="19"/>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_Toc18663 </w:instrText>
      </w:r>
      <w:r>
        <w:rPr>
          <w:rFonts w:ascii="Times New Roman" w:hAnsi="Times New Roman" w:eastAsia="宋体" w:cs="Times New Roman"/>
          <w:kern w:val="0"/>
          <w:szCs w:val="22"/>
          <w:highlight w:val="none"/>
        </w:rPr>
        <w:fldChar w:fldCharType="separate"/>
      </w:r>
      <w:r>
        <w:rPr>
          <w:rFonts w:hint="eastAsia"/>
          <w:highlight w:val="none"/>
        </w:rPr>
        <w:t>第</w:t>
      </w:r>
      <w:r>
        <w:rPr>
          <w:rFonts w:hint="eastAsia"/>
          <w:highlight w:val="none"/>
          <w:lang w:val="en-US" w:eastAsia="zh-CN"/>
        </w:rPr>
        <w:t>六</w:t>
      </w:r>
      <w:r>
        <w:rPr>
          <w:rFonts w:hint="eastAsia"/>
          <w:highlight w:val="none"/>
        </w:rPr>
        <w:t xml:space="preserve">章 </w:t>
      </w:r>
      <w:r>
        <w:rPr>
          <w:highlight w:val="none"/>
        </w:rPr>
        <w:t xml:space="preserve"> </w:t>
      </w:r>
      <w:r>
        <w:rPr>
          <w:rFonts w:hint="eastAsia"/>
          <w:highlight w:val="none"/>
        </w:rPr>
        <w:t>环保</w:t>
      </w:r>
      <w:r>
        <w:rPr>
          <w:rFonts w:hint="eastAsia"/>
          <w:highlight w:val="none"/>
          <w:lang w:val="en-US" w:eastAsia="zh-CN"/>
        </w:rPr>
        <w:t>与节能</w:t>
      </w:r>
      <w:r>
        <w:rPr>
          <w:rFonts w:hint="eastAsia"/>
          <w:highlight w:val="none"/>
        </w:rPr>
        <w:t>规划</w:t>
      </w:r>
      <w:r>
        <w:tab/>
      </w:r>
      <w:r>
        <w:fldChar w:fldCharType="begin"/>
      </w:r>
      <w:r>
        <w:instrText xml:space="preserve"> PAGEREF _Toc18663 \h </w:instrText>
      </w:r>
      <w:r>
        <w:fldChar w:fldCharType="separate"/>
      </w:r>
      <w:r>
        <w:t>15</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_Toc13563 </w:instrText>
      </w:r>
      <w:r>
        <w:rPr>
          <w:rFonts w:ascii="Times New Roman" w:hAnsi="Times New Roman" w:eastAsia="宋体" w:cs="Times New Roman"/>
          <w:kern w:val="0"/>
          <w:szCs w:val="22"/>
          <w:highlight w:val="none"/>
        </w:rPr>
        <w:fldChar w:fldCharType="separate"/>
      </w:r>
      <w:r>
        <w:rPr>
          <w:rFonts w:hint="eastAsia"/>
          <w:highlight w:val="none"/>
        </w:rPr>
        <w:t>第二十</w:t>
      </w:r>
      <w:r>
        <w:rPr>
          <w:rFonts w:hint="eastAsia"/>
          <w:highlight w:val="none"/>
          <w:lang w:val="en-US" w:eastAsia="zh-CN"/>
        </w:rPr>
        <w:t>一</w:t>
      </w:r>
      <w:r>
        <w:rPr>
          <w:rFonts w:hint="eastAsia"/>
          <w:highlight w:val="none"/>
        </w:rPr>
        <w:t>条：</w:t>
      </w:r>
      <w:r>
        <w:rPr>
          <w:rFonts w:hint="eastAsia"/>
          <w:highlight w:val="none"/>
          <w:lang w:val="en-US" w:eastAsia="zh-CN"/>
        </w:rPr>
        <w:t>环保规划</w:t>
      </w:r>
      <w:r>
        <w:tab/>
      </w:r>
      <w:r>
        <w:fldChar w:fldCharType="begin"/>
      </w:r>
      <w:r>
        <w:instrText xml:space="preserve"> PAGEREF _Toc13563 \h </w:instrText>
      </w:r>
      <w:r>
        <w:fldChar w:fldCharType="separate"/>
      </w:r>
      <w:r>
        <w:t>15</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_Toc13637 </w:instrText>
      </w:r>
      <w:r>
        <w:rPr>
          <w:rFonts w:ascii="Times New Roman" w:hAnsi="Times New Roman" w:eastAsia="宋体" w:cs="Times New Roman"/>
          <w:kern w:val="0"/>
          <w:szCs w:val="22"/>
          <w:highlight w:val="none"/>
        </w:rPr>
        <w:fldChar w:fldCharType="separate"/>
      </w:r>
      <w:r>
        <w:rPr>
          <w:rFonts w:hint="eastAsia"/>
          <w:highlight w:val="none"/>
        </w:rPr>
        <w:t>第二十</w:t>
      </w:r>
      <w:r>
        <w:rPr>
          <w:rFonts w:hint="eastAsia"/>
          <w:highlight w:val="none"/>
          <w:lang w:val="en-US" w:eastAsia="zh-CN"/>
        </w:rPr>
        <w:t>二</w:t>
      </w:r>
      <w:r>
        <w:rPr>
          <w:rFonts w:hint="eastAsia"/>
          <w:highlight w:val="none"/>
        </w:rPr>
        <w:t>条：节能</w:t>
      </w:r>
      <w:r>
        <w:rPr>
          <w:rFonts w:hint="eastAsia"/>
          <w:highlight w:val="none"/>
          <w:lang w:val="en-US" w:eastAsia="zh-CN"/>
        </w:rPr>
        <w:t>规划</w:t>
      </w:r>
      <w:r>
        <w:tab/>
      </w:r>
      <w:r>
        <w:fldChar w:fldCharType="begin"/>
      </w:r>
      <w:r>
        <w:instrText xml:space="preserve"> PAGEREF _Toc13637 \h </w:instrText>
      </w:r>
      <w:r>
        <w:fldChar w:fldCharType="separate"/>
      </w:r>
      <w:r>
        <w:t>16</w:t>
      </w:r>
      <w:r>
        <w:fldChar w:fldCharType="end"/>
      </w:r>
      <w:r>
        <w:rPr>
          <w:rFonts w:ascii="Times New Roman" w:hAnsi="Times New Roman" w:eastAsia="宋体" w:cs="Times New Roman"/>
          <w:color w:val="auto"/>
          <w:kern w:val="0"/>
          <w:szCs w:val="22"/>
          <w:highlight w:val="none"/>
        </w:rPr>
        <w:fldChar w:fldCharType="end"/>
      </w:r>
    </w:p>
    <w:p>
      <w:pPr>
        <w:pStyle w:val="19"/>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_Toc16392 </w:instrText>
      </w:r>
      <w:r>
        <w:rPr>
          <w:rFonts w:ascii="Times New Roman" w:hAnsi="Times New Roman" w:eastAsia="宋体" w:cs="Times New Roman"/>
          <w:kern w:val="0"/>
          <w:szCs w:val="22"/>
          <w:highlight w:val="none"/>
        </w:rPr>
        <w:fldChar w:fldCharType="separate"/>
      </w:r>
      <w:r>
        <w:rPr>
          <w:rFonts w:hint="eastAsia"/>
          <w:highlight w:val="none"/>
        </w:rPr>
        <w:t>第</w:t>
      </w:r>
      <w:r>
        <w:rPr>
          <w:rFonts w:hint="eastAsia"/>
          <w:highlight w:val="none"/>
          <w:lang w:val="en-US" w:eastAsia="zh-CN"/>
        </w:rPr>
        <w:t>七</w:t>
      </w:r>
      <w:r>
        <w:rPr>
          <w:rFonts w:hint="eastAsia"/>
          <w:highlight w:val="none"/>
        </w:rPr>
        <w:t xml:space="preserve">章 </w:t>
      </w:r>
      <w:r>
        <w:rPr>
          <w:highlight w:val="none"/>
        </w:rPr>
        <w:t xml:space="preserve"> </w:t>
      </w:r>
      <w:r>
        <w:rPr>
          <w:rFonts w:hint="eastAsia"/>
          <w:highlight w:val="none"/>
        </w:rPr>
        <w:t>消防规划</w:t>
      </w:r>
      <w:r>
        <w:tab/>
      </w:r>
      <w:r>
        <w:fldChar w:fldCharType="begin"/>
      </w:r>
      <w:r>
        <w:instrText xml:space="preserve"> PAGEREF _Toc16392 \h </w:instrText>
      </w:r>
      <w:r>
        <w:fldChar w:fldCharType="separate"/>
      </w:r>
      <w:r>
        <w:t>16</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_Toc12616 </w:instrText>
      </w:r>
      <w:r>
        <w:rPr>
          <w:rFonts w:ascii="Times New Roman" w:hAnsi="Times New Roman" w:eastAsia="宋体" w:cs="Times New Roman"/>
          <w:kern w:val="0"/>
          <w:szCs w:val="22"/>
          <w:highlight w:val="none"/>
        </w:rPr>
        <w:fldChar w:fldCharType="separate"/>
      </w:r>
      <w:r>
        <w:rPr>
          <w:rFonts w:hint="eastAsia"/>
          <w:highlight w:val="none"/>
        </w:rPr>
        <w:t>第二十</w:t>
      </w:r>
      <w:r>
        <w:rPr>
          <w:rFonts w:hint="eastAsia"/>
          <w:highlight w:val="none"/>
          <w:lang w:val="en-US" w:eastAsia="zh-CN"/>
        </w:rPr>
        <w:t>三</w:t>
      </w:r>
      <w:r>
        <w:rPr>
          <w:rFonts w:hint="eastAsia"/>
          <w:highlight w:val="none"/>
        </w:rPr>
        <w:t>条：燃气场站</w:t>
      </w:r>
      <w:r>
        <w:rPr>
          <w:rFonts w:hint="eastAsia"/>
          <w:highlight w:val="none"/>
          <w:lang w:val="en-US" w:eastAsia="zh-CN"/>
        </w:rPr>
        <w:t>系统消防规划</w:t>
      </w:r>
      <w:r>
        <w:tab/>
      </w:r>
      <w:r>
        <w:fldChar w:fldCharType="begin"/>
      </w:r>
      <w:r>
        <w:instrText xml:space="preserve"> PAGEREF _Toc12616 \h </w:instrText>
      </w:r>
      <w:r>
        <w:fldChar w:fldCharType="separate"/>
      </w:r>
      <w:r>
        <w:t>16</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_Toc19358 </w:instrText>
      </w:r>
      <w:r>
        <w:rPr>
          <w:rFonts w:ascii="Times New Roman" w:hAnsi="Times New Roman" w:eastAsia="宋体" w:cs="Times New Roman"/>
          <w:kern w:val="0"/>
          <w:szCs w:val="22"/>
          <w:highlight w:val="none"/>
        </w:rPr>
        <w:fldChar w:fldCharType="separate"/>
      </w:r>
      <w:r>
        <w:rPr>
          <w:rFonts w:hint="eastAsia"/>
          <w:highlight w:val="none"/>
        </w:rPr>
        <w:t>第二十</w:t>
      </w:r>
      <w:r>
        <w:rPr>
          <w:rFonts w:hint="eastAsia"/>
          <w:highlight w:val="none"/>
          <w:lang w:val="en-US" w:eastAsia="zh-CN"/>
        </w:rPr>
        <w:t>四</w:t>
      </w:r>
      <w:r>
        <w:rPr>
          <w:rFonts w:hint="eastAsia"/>
          <w:highlight w:val="none"/>
        </w:rPr>
        <w:t>条：输配管网系统</w:t>
      </w:r>
      <w:r>
        <w:rPr>
          <w:rFonts w:hint="eastAsia"/>
          <w:highlight w:val="none"/>
          <w:lang w:val="en-US" w:eastAsia="zh-CN"/>
        </w:rPr>
        <w:t>消防规划</w:t>
      </w:r>
      <w:r>
        <w:tab/>
      </w:r>
      <w:r>
        <w:fldChar w:fldCharType="begin"/>
      </w:r>
      <w:r>
        <w:instrText xml:space="preserve"> PAGEREF _Toc19358 \h </w:instrText>
      </w:r>
      <w:r>
        <w:fldChar w:fldCharType="separate"/>
      </w:r>
      <w:r>
        <w:t>16</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_Toc2636 </w:instrText>
      </w:r>
      <w:r>
        <w:rPr>
          <w:rFonts w:ascii="Times New Roman" w:hAnsi="Times New Roman" w:eastAsia="宋体" w:cs="Times New Roman"/>
          <w:kern w:val="0"/>
          <w:szCs w:val="22"/>
          <w:highlight w:val="none"/>
        </w:rPr>
        <w:fldChar w:fldCharType="separate"/>
      </w:r>
      <w:r>
        <w:rPr>
          <w:rFonts w:hint="eastAsia"/>
          <w:lang w:val="en-US" w:eastAsia="zh-CN"/>
        </w:rPr>
        <w:t>第二十五条：公用工程消防规划</w:t>
      </w:r>
      <w:r>
        <w:tab/>
      </w:r>
      <w:r>
        <w:fldChar w:fldCharType="begin"/>
      </w:r>
      <w:r>
        <w:instrText xml:space="preserve"> PAGEREF _Toc2636 \h </w:instrText>
      </w:r>
      <w:r>
        <w:fldChar w:fldCharType="separate"/>
      </w:r>
      <w:r>
        <w:t>17</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_Toc23906 </w:instrText>
      </w:r>
      <w:r>
        <w:rPr>
          <w:rFonts w:ascii="Times New Roman" w:hAnsi="Times New Roman" w:eastAsia="宋体" w:cs="Times New Roman"/>
          <w:kern w:val="0"/>
          <w:szCs w:val="22"/>
          <w:highlight w:val="none"/>
        </w:rPr>
        <w:fldChar w:fldCharType="separate"/>
      </w:r>
      <w:r>
        <w:rPr>
          <w:rFonts w:hint="eastAsia"/>
          <w:highlight w:val="none"/>
        </w:rPr>
        <w:t>第二十</w:t>
      </w:r>
      <w:r>
        <w:rPr>
          <w:rFonts w:hint="eastAsia"/>
          <w:highlight w:val="none"/>
          <w:lang w:val="en-US" w:eastAsia="zh-CN"/>
        </w:rPr>
        <w:t>六</w:t>
      </w:r>
      <w:r>
        <w:rPr>
          <w:rFonts w:hint="eastAsia"/>
          <w:highlight w:val="none"/>
        </w:rPr>
        <w:t>条：运行管理消防</w:t>
      </w:r>
      <w:r>
        <w:rPr>
          <w:rFonts w:hint="eastAsia"/>
          <w:highlight w:val="none"/>
          <w:lang w:val="en-US" w:eastAsia="zh-CN"/>
        </w:rPr>
        <w:t>规划</w:t>
      </w:r>
      <w:r>
        <w:tab/>
      </w:r>
      <w:r>
        <w:fldChar w:fldCharType="begin"/>
      </w:r>
      <w:r>
        <w:instrText xml:space="preserve"> PAGEREF _Toc23906 \h </w:instrText>
      </w:r>
      <w:r>
        <w:fldChar w:fldCharType="separate"/>
      </w:r>
      <w:r>
        <w:t>17</w:t>
      </w:r>
      <w:r>
        <w:fldChar w:fldCharType="end"/>
      </w:r>
      <w:r>
        <w:rPr>
          <w:rFonts w:ascii="Times New Roman" w:hAnsi="Times New Roman" w:eastAsia="宋体" w:cs="Times New Roman"/>
          <w:color w:val="auto"/>
          <w:kern w:val="0"/>
          <w:szCs w:val="22"/>
          <w:highlight w:val="none"/>
        </w:rPr>
        <w:fldChar w:fldCharType="end"/>
      </w:r>
    </w:p>
    <w:p>
      <w:pPr>
        <w:pStyle w:val="19"/>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_Toc20018 </w:instrText>
      </w:r>
      <w:r>
        <w:rPr>
          <w:rFonts w:ascii="Times New Roman" w:hAnsi="Times New Roman" w:eastAsia="宋体" w:cs="Times New Roman"/>
          <w:kern w:val="0"/>
          <w:szCs w:val="22"/>
          <w:highlight w:val="none"/>
        </w:rPr>
        <w:fldChar w:fldCharType="separate"/>
      </w:r>
      <w:r>
        <w:rPr>
          <w:rFonts w:hint="eastAsia"/>
          <w:highlight w:val="none"/>
        </w:rPr>
        <w:t>第</w:t>
      </w:r>
      <w:r>
        <w:rPr>
          <w:rFonts w:hint="eastAsia"/>
          <w:highlight w:val="none"/>
          <w:lang w:val="en-US" w:eastAsia="zh-CN"/>
        </w:rPr>
        <w:t>八</w:t>
      </w:r>
      <w:r>
        <w:rPr>
          <w:rFonts w:hint="eastAsia"/>
          <w:highlight w:val="none"/>
        </w:rPr>
        <w:t xml:space="preserve">章 </w:t>
      </w:r>
      <w:r>
        <w:rPr>
          <w:highlight w:val="none"/>
        </w:rPr>
        <w:t xml:space="preserve"> </w:t>
      </w:r>
      <w:r>
        <w:rPr>
          <w:rFonts w:hint="eastAsia"/>
          <w:highlight w:val="none"/>
          <w:lang w:val="en-US" w:eastAsia="zh-CN"/>
        </w:rPr>
        <w:t>健康、</w:t>
      </w:r>
      <w:r>
        <w:rPr>
          <w:rFonts w:hint="eastAsia"/>
          <w:highlight w:val="none"/>
        </w:rPr>
        <w:t>安全与</w:t>
      </w:r>
      <w:r>
        <w:rPr>
          <w:rFonts w:hint="eastAsia"/>
          <w:highlight w:val="none"/>
          <w:lang w:val="en-US" w:eastAsia="zh-CN"/>
        </w:rPr>
        <w:t>环境管理体系</w:t>
      </w:r>
      <w:r>
        <w:tab/>
      </w:r>
      <w:r>
        <w:fldChar w:fldCharType="begin"/>
      </w:r>
      <w:r>
        <w:instrText xml:space="preserve"> PAGEREF _Toc20018 \h </w:instrText>
      </w:r>
      <w:r>
        <w:fldChar w:fldCharType="separate"/>
      </w:r>
      <w:r>
        <w:t>18</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_Toc14138 </w:instrText>
      </w:r>
      <w:r>
        <w:rPr>
          <w:rFonts w:ascii="Times New Roman" w:hAnsi="Times New Roman" w:eastAsia="宋体" w:cs="Times New Roman"/>
          <w:kern w:val="0"/>
          <w:szCs w:val="22"/>
          <w:highlight w:val="none"/>
        </w:rPr>
        <w:fldChar w:fldCharType="separate"/>
      </w:r>
      <w:r>
        <w:rPr>
          <w:rFonts w:hint="eastAsia"/>
          <w:highlight w:val="none"/>
        </w:rPr>
        <w:t>第</w:t>
      </w:r>
      <w:r>
        <w:rPr>
          <w:rFonts w:hint="eastAsia"/>
          <w:highlight w:val="none"/>
          <w:lang w:val="en-US" w:eastAsia="zh-CN"/>
        </w:rPr>
        <w:t>二十七</w:t>
      </w:r>
      <w:r>
        <w:rPr>
          <w:rFonts w:hint="eastAsia"/>
          <w:highlight w:val="none"/>
        </w:rPr>
        <w:t>条：气源安全</w:t>
      </w:r>
      <w:r>
        <w:tab/>
      </w:r>
      <w:r>
        <w:fldChar w:fldCharType="begin"/>
      </w:r>
      <w:r>
        <w:instrText xml:space="preserve"> PAGEREF _Toc14138 \h </w:instrText>
      </w:r>
      <w:r>
        <w:fldChar w:fldCharType="separate"/>
      </w:r>
      <w:r>
        <w:t>18</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_Toc7339 </w:instrText>
      </w:r>
      <w:r>
        <w:rPr>
          <w:rFonts w:ascii="Times New Roman" w:hAnsi="Times New Roman" w:eastAsia="宋体" w:cs="Times New Roman"/>
          <w:kern w:val="0"/>
          <w:szCs w:val="22"/>
          <w:highlight w:val="none"/>
        </w:rPr>
        <w:fldChar w:fldCharType="separate"/>
      </w:r>
      <w:r>
        <w:rPr>
          <w:rFonts w:hint="eastAsia"/>
          <w:highlight w:val="none"/>
        </w:rPr>
        <w:t>第</w:t>
      </w:r>
      <w:r>
        <w:rPr>
          <w:rFonts w:hint="eastAsia"/>
          <w:highlight w:val="none"/>
          <w:lang w:val="en-US" w:eastAsia="zh-CN"/>
        </w:rPr>
        <w:t>二十八</w:t>
      </w:r>
      <w:r>
        <w:rPr>
          <w:rFonts w:hint="eastAsia"/>
          <w:highlight w:val="none"/>
        </w:rPr>
        <w:t>条：燃气工程质量</w:t>
      </w:r>
      <w:r>
        <w:tab/>
      </w:r>
      <w:r>
        <w:fldChar w:fldCharType="begin"/>
      </w:r>
      <w:r>
        <w:instrText xml:space="preserve"> PAGEREF _Toc7339 \h </w:instrText>
      </w:r>
      <w:r>
        <w:fldChar w:fldCharType="separate"/>
      </w:r>
      <w:r>
        <w:t>18</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_Toc20975 </w:instrText>
      </w:r>
      <w:r>
        <w:rPr>
          <w:rFonts w:ascii="Times New Roman" w:hAnsi="Times New Roman" w:eastAsia="宋体" w:cs="Times New Roman"/>
          <w:kern w:val="0"/>
          <w:szCs w:val="22"/>
          <w:highlight w:val="none"/>
        </w:rPr>
        <w:fldChar w:fldCharType="separate"/>
      </w:r>
      <w:r>
        <w:rPr>
          <w:rFonts w:hint="eastAsia"/>
          <w:highlight w:val="none"/>
        </w:rPr>
        <w:t>第</w:t>
      </w:r>
      <w:r>
        <w:rPr>
          <w:rFonts w:hint="eastAsia"/>
          <w:highlight w:val="none"/>
          <w:lang w:val="en-US" w:eastAsia="zh-CN"/>
        </w:rPr>
        <w:t>二十九</w:t>
      </w:r>
      <w:r>
        <w:rPr>
          <w:rFonts w:hint="eastAsia"/>
          <w:highlight w:val="none"/>
        </w:rPr>
        <w:t>条：供气安全</w:t>
      </w:r>
      <w:r>
        <w:tab/>
      </w:r>
      <w:r>
        <w:fldChar w:fldCharType="begin"/>
      </w:r>
      <w:r>
        <w:instrText xml:space="preserve"> PAGEREF _Toc20975 \h </w:instrText>
      </w:r>
      <w:r>
        <w:fldChar w:fldCharType="separate"/>
      </w:r>
      <w:r>
        <w:t>18</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_Toc27596 </w:instrText>
      </w:r>
      <w:r>
        <w:rPr>
          <w:rFonts w:ascii="Times New Roman" w:hAnsi="Times New Roman" w:eastAsia="宋体" w:cs="Times New Roman"/>
          <w:kern w:val="0"/>
          <w:szCs w:val="22"/>
          <w:highlight w:val="none"/>
        </w:rPr>
        <w:fldChar w:fldCharType="separate"/>
      </w:r>
      <w:r>
        <w:rPr>
          <w:rFonts w:hint="eastAsia"/>
          <w:highlight w:val="none"/>
        </w:rPr>
        <w:t>第</w:t>
      </w:r>
      <w:r>
        <w:rPr>
          <w:rFonts w:hint="eastAsia"/>
          <w:highlight w:val="none"/>
          <w:lang w:val="en-US" w:eastAsia="zh-CN"/>
        </w:rPr>
        <w:t>三十</w:t>
      </w:r>
      <w:r>
        <w:rPr>
          <w:rFonts w:hint="eastAsia"/>
          <w:highlight w:val="none"/>
        </w:rPr>
        <w:t>条：用气安全</w:t>
      </w:r>
      <w:r>
        <w:tab/>
      </w:r>
      <w:r>
        <w:fldChar w:fldCharType="begin"/>
      </w:r>
      <w:r>
        <w:instrText xml:space="preserve"> PAGEREF _Toc27596 \h </w:instrText>
      </w:r>
      <w:r>
        <w:fldChar w:fldCharType="separate"/>
      </w:r>
      <w:r>
        <w:t>18</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_Toc29162 </w:instrText>
      </w:r>
      <w:r>
        <w:rPr>
          <w:rFonts w:ascii="Times New Roman" w:hAnsi="Times New Roman" w:eastAsia="宋体" w:cs="Times New Roman"/>
          <w:kern w:val="0"/>
          <w:szCs w:val="22"/>
          <w:highlight w:val="none"/>
        </w:rPr>
        <w:fldChar w:fldCharType="separate"/>
      </w:r>
      <w:r>
        <w:rPr>
          <w:rFonts w:hint="eastAsia"/>
          <w:highlight w:val="none"/>
        </w:rPr>
        <w:t>第</w:t>
      </w:r>
      <w:r>
        <w:rPr>
          <w:rFonts w:hint="eastAsia"/>
          <w:highlight w:val="none"/>
          <w:lang w:val="en-US" w:eastAsia="zh-CN"/>
        </w:rPr>
        <w:t>三十一</w:t>
      </w:r>
      <w:r>
        <w:rPr>
          <w:rFonts w:hint="eastAsia"/>
          <w:highlight w:val="none"/>
        </w:rPr>
        <w:t>条：</w:t>
      </w:r>
      <w:r>
        <w:rPr>
          <w:rFonts w:hint="eastAsia"/>
          <w:highlight w:val="none"/>
          <w:lang w:val="en-US" w:eastAsia="zh-CN"/>
        </w:rPr>
        <w:t>应急预案</w:t>
      </w:r>
      <w:r>
        <w:tab/>
      </w:r>
      <w:r>
        <w:fldChar w:fldCharType="begin"/>
      </w:r>
      <w:r>
        <w:instrText xml:space="preserve"> PAGEREF _Toc29162 \h </w:instrText>
      </w:r>
      <w:r>
        <w:fldChar w:fldCharType="separate"/>
      </w:r>
      <w:r>
        <w:t>19</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_Toc8797 </w:instrText>
      </w:r>
      <w:r>
        <w:rPr>
          <w:rFonts w:ascii="Times New Roman" w:hAnsi="Times New Roman" w:eastAsia="宋体" w:cs="Times New Roman"/>
          <w:kern w:val="0"/>
          <w:szCs w:val="22"/>
          <w:highlight w:val="none"/>
        </w:rPr>
        <w:fldChar w:fldCharType="separate"/>
      </w:r>
      <w:r>
        <w:rPr>
          <w:rFonts w:ascii="Times New Roman" w:hAnsi="Times New Roman"/>
          <w:kern w:val="44"/>
          <w:szCs w:val="44"/>
          <w:highlight w:val="none"/>
        </w:rPr>
        <w:t>第</w:t>
      </w:r>
      <w:r>
        <w:rPr>
          <w:rFonts w:hint="eastAsia" w:ascii="Times New Roman" w:hAnsi="Times New Roman"/>
          <w:kern w:val="44"/>
          <w:szCs w:val="44"/>
          <w:highlight w:val="none"/>
          <w:lang w:val="en-US" w:eastAsia="zh-CN"/>
        </w:rPr>
        <w:t>三十二</w:t>
      </w:r>
      <w:r>
        <w:rPr>
          <w:rFonts w:ascii="Times New Roman" w:hAnsi="Times New Roman"/>
          <w:kern w:val="44"/>
          <w:szCs w:val="44"/>
          <w:highlight w:val="none"/>
        </w:rPr>
        <w:t>条：安全保障措施</w:t>
      </w:r>
      <w:r>
        <w:tab/>
      </w:r>
      <w:r>
        <w:fldChar w:fldCharType="begin"/>
      </w:r>
      <w:r>
        <w:instrText xml:space="preserve"> PAGEREF _Toc8797 \h </w:instrText>
      </w:r>
      <w:r>
        <w:fldChar w:fldCharType="separate"/>
      </w:r>
      <w:r>
        <w:t>19</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_Toc20178 </w:instrText>
      </w:r>
      <w:r>
        <w:rPr>
          <w:rFonts w:ascii="Times New Roman" w:hAnsi="Times New Roman" w:eastAsia="宋体" w:cs="Times New Roman"/>
          <w:kern w:val="0"/>
          <w:szCs w:val="22"/>
          <w:highlight w:val="none"/>
        </w:rPr>
        <w:fldChar w:fldCharType="separate"/>
      </w:r>
      <w:r>
        <w:rPr>
          <w:rFonts w:hint="eastAsia"/>
          <w:highlight w:val="none"/>
          <w:lang w:bidi="th-TH"/>
        </w:rPr>
        <w:t>第三十</w:t>
      </w:r>
      <w:r>
        <w:rPr>
          <w:rFonts w:hint="eastAsia"/>
          <w:highlight w:val="none"/>
          <w:lang w:val="en-US" w:eastAsia="zh-CN" w:bidi="th-TH"/>
        </w:rPr>
        <w:t>三</w:t>
      </w:r>
      <w:r>
        <w:rPr>
          <w:rFonts w:hint="eastAsia"/>
          <w:highlight w:val="none"/>
          <w:lang w:bidi="th-TH"/>
        </w:rPr>
        <w:t>条：职业卫生规划</w:t>
      </w:r>
      <w:r>
        <w:tab/>
      </w:r>
      <w:r>
        <w:fldChar w:fldCharType="begin"/>
      </w:r>
      <w:r>
        <w:instrText xml:space="preserve"> PAGEREF _Toc20178 \h </w:instrText>
      </w:r>
      <w:r>
        <w:fldChar w:fldCharType="separate"/>
      </w:r>
      <w:r>
        <w:t>19</w:t>
      </w:r>
      <w:r>
        <w:fldChar w:fldCharType="end"/>
      </w:r>
      <w:r>
        <w:rPr>
          <w:rFonts w:ascii="Times New Roman" w:hAnsi="Times New Roman" w:eastAsia="宋体" w:cs="Times New Roman"/>
          <w:color w:val="auto"/>
          <w:kern w:val="0"/>
          <w:szCs w:val="22"/>
          <w:highlight w:val="none"/>
        </w:rPr>
        <w:fldChar w:fldCharType="end"/>
      </w:r>
    </w:p>
    <w:p>
      <w:pPr>
        <w:pStyle w:val="19"/>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_Toc15740 </w:instrText>
      </w:r>
      <w:r>
        <w:rPr>
          <w:rFonts w:ascii="Times New Roman" w:hAnsi="Times New Roman" w:eastAsia="宋体" w:cs="Times New Roman"/>
          <w:kern w:val="0"/>
          <w:szCs w:val="22"/>
          <w:highlight w:val="none"/>
        </w:rPr>
        <w:fldChar w:fldCharType="separate"/>
      </w:r>
      <w:r>
        <w:rPr>
          <w:rFonts w:hint="eastAsia"/>
          <w:highlight w:val="none"/>
          <w:lang w:val="en-US" w:eastAsia="zh-CN"/>
        </w:rPr>
        <w:t>第九章  燃气设施的安全保护</w:t>
      </w:r>
      <w:r>
        <w:tab/>
      </w:r>
      <w:r>
        <w:fldChar w:fldCharType="begin"/>
      </w:r>
      <w:r>
        <w:instrText xml:space="preserve"> PAGEREF _Toc15740 \h </w:instrText>
      </w:r>
      <w:r>
        <w:fldChar w:fldCharType="separate"/>
      </w:r>
      <w:r>
        <w:t>20</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_Toc19727 </w:instrText>
      </w:r>
      <w:r>
        <w:rPr>
          <w:rFonts w:ascii="Times New Roman" w:hAnsi="Times New Roman" w:eastAsia="宋体" w:cs="Times New Roman"/>
          <w:kern w:val="0"/>
          <w:szCs w:val="22"/>
          <w:highlight w:val="none"/>
        </w:rPr>
        <w:fldChar w:fldCharType="separate"/>
      </w:r>
      <w:r>
        <w:rPr>
          <w:rFonts w:ascii="Times New Roman" w:hAnsi="Times New Roman"/>
          <w:kern w:val="44"/>
          <w:szCs w:val="44"/>
          <w:highlight w:val="none"/>
        </w:rPr>
        <w:t>第</w:t>
      </w:r>
      <w:r>
        <w:rPr>
          <w:rFonts w:hint="eastAsia" w:ascii="Times New Roman" w:hAnsi="Times New Roman"/>
          <w:kern w:val="44"/>
          <w:szCs w:val="44"/>
          <w:highlight w:val="none"/>
        </w:rPr>
        <w:t>三十</w:t>
      </w:r>
      <w:r>
        <w:rPr>
          <w:rFonts w:hint="eastAsia" w:ascii="Times New Roman" w:hAnsi="Times New Roman"/>
          <w:kern w:val="44"/>
          <w:szCs w:val="44"/>
          <w:highlight w:val="none"/>
          <w:lang w:val="en-US" w:eastAsia="zh-CN"/>
        </w:rPr>
        <w:t>四</w:t>
      </w:r>
      <w:r>
        <w:rPr>
          <w:rFonts w:ascii="Times New Roman" w:hAnsi="Times New Roman"/>
          <w:kern w:val="44"/>
          <w:szCs w:val="44"/>
          <w:highlight w:val="none"/>
        </w:rPr>
        <w:t>条：燃气设施</w:t>
      </w:r>
      <w:r>
        <w:rPr>
          <w:rFonts w:hint="eastAsia" w:ascii="Times New Roman" w:hAnsi="Times New Roman"/>
          <w:kern w:val="44"/>
          <w:szCs w:val="44"/>
          <w:highlight w:val="none"/>
        </w:rPr>
        <w:t>保护</w:t>
      </w:r>
      <w:r>
        <w:tab/>
      </w:r>
      <w:r>
        <w:fldChar w:fldCharType="begin"/>
      </w:r>
      <w:r>
        <w:instrText xml:space="preserve"> PAGEREF _Toc19727 \h </w:instrText>
      </w:r>
      <w:r>
        <w:fldChar w:fldCharType="separate"/>
      </w:r>
      <w:r>
        <w:t>20</w:t>
      </w:r>
      <w:r>
        <w:fldChar w:fldCharType="end"/>
      </w:r>
      <w:r>
        <w:rPr>
          <w:rFonts w:ascii="Times New Roman" w:hAnsi="Times New Roman" w:eastAsia="宋体" w:cs="Times New Roman"/>
          <w:color w:val="auto"/>
          <w:kern w:val="0"/>
          <w:szCs w:val="22"/>
          <w:highlight w:val="none"/>
        </w:rPr>
        <w:fldChar w:fldCharType="end"/>
      </w:r>
    </w:p>
    <w:p>
      <w:pPr>
        <w:pStyle w:val="19"/>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_Toc9363 </w:instrText>
      </w:r>
      <w:r>
        <w:rPr>
          <w:rFonts w:ascii="Times New Roman" w:hAnsi="Times New Roman" w:eastAsia="宋体" w:cs="Times New Roman"/>
          <w:kern w:val="0"/>
          <w:szCs w:val="22"/>
          <w:highlight w:val="none"/>
        </w:rPr>
        <w:fldChar w:fldCharType="separate"/>
      </w:r>
      <w:r>
        <w:rPr>
          <w:rFonts w:hint="eastAsia"/>
          <w:highlight w:val="none"/>
        </w:rPr>
        <w:t xml:space="preserve">第十章 </w:t>
      </w:r>
      <w:r>
        <w:rPr>
          <w:highlight w:val="none"/>
        </w:rPr>
        <w:t xml:space="preserve"> </w:t>
      </w:r>
      <w:r>
        <w:rPr>
          <w:rFonts w:hint="eastAsia"/>
          <w:highlight w:val="none"/>
          <w:lang w:val="en-US" w:eastAsia="zh-CN"/>
        </w:rPr>
        <w:t>规划实施</w:t>
      </w:r>
      <w:r>
        <w:tab/>
      </w:r>
      <w:r>
        <w:fldChar w:fldCharType="begin"/>
      </w:r>
      <w:r>
        <w:instrText xml:space="preserve"> PAGEREF _Toc9363 \h </w:instrText>
      </w:r>
      <w:r>
        <w:fldChar w:fldCharType="separate"/>
      </w:r>
      <w:r>
        <w:t>21</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_Toc131 </w:instrText>
      </w:r>
      <w:r>
        <w:rPr>
          <w:rFonts w:ascii="Times New Roman" w:hAnsi="Times New Roman" w:eastAsia="宋体" w:cs="Times New Roman"/>
          <w:kern w:val="0"/>
          <w:szCs w:val="22"/>
          <w:highlight w:val="none"/>
        </w:rPr>
        <w:fldChar w:fldCharType="separate"/>
      </w:r>
      <w:r>
        <w:rPr>
          <w:rFonts w:hint="eastAsia"/>
          <w:highlight w:val="none"/>
        </w:rPr>
        <w:t>第三十</w:t>
      </w:r>
      <w:r>
        <w:rPr>
          <w:rFonts w:hint="eastAsia"/>
          <w:highlight w:val="none"/>
          <w:lang w:val="en-US" w:eastAsia="zh-CN"/>
        </w:rPr>
        <w:t>五</w:t>
      </w:r>
      <w:r>
        <w:rPr>
          <w:rFonts w:hint="eastAsia"/>
          <w:highlight w:val="none"/>
        </w:rPr>
        <w:t>条：规划实施进度</w:t>
      </w:r>
      <w:r>
        <w:tab/>
      </w:r>
      <w:r>
        <w:fldChar w:fldCharType="begin"/>
      </w:r>
      <w:r>
        <w:instrText xml:space="preserve"> PAGEREF _Toc131 \h </w:instrText>
      </w:r>
      <w:r>
        <w:fldChar w:fldCharType="separate"/>
      </w:r>
      <w:r>
        <w:t>21</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_Toc9643 </w:instrText>
      </w:r>
      <w:r>
        <w:rPr>
          <w:rFonts w:ascii="Times New Roman" w:hAnsi="Times New Roman" w:eastAsia="宋体" w:cs="Times New Roman"/>
          <w:kern w:val="0"/>
          <w:szCs w:val="22"/>
          <w:highlight w:val="none"/>
        </w:rPr>
        <w:fldChar w:fldCharType="separate"/>
      </w:r>
      <w:r>
        <w:rPr>
          <w:rFonts w:hint="eastAsia"/>
          <w:highlight w:val="none"/>
        </w:rPr>
        <w:t>第三十</w:t>
      </w:r>
      <w:r>
        <w:rPr>
          <w:rFonts w:hint="eastAsia"/>
          <w:highlight w:val="none"/>
          <w:lang w:val="en-US" w:eastAsia="zh-CN"/>
        </w:rPr>
        <w:t>六</w:t>
      </w:r>
      <w:r>
        <w:rPr>
          <w:rFonts w:hint="eastAsia"/>
          <w:highlight w:val="none"/>
        </w:rPr>
        <w:t>条：</w:t>
      </w:r>
      <w:r>
        <w:rPr>
          <w:rFonts w:ascii="Times New Roman" w:hAnsi="Times New Roman"/>
          <w:kern w:val="44"/>
          <w:szCs w:val="44"/>
          <w:highlight w:val="none"/>
        </w:rPr>
        <w:t>投资匡算</w:t>
      </w:r>
      <w:r>
        <w:tab/>
      </w:r>
      <w:r>
        <w:fldChar w:fldCharType="begin"/>
      </w:r>
      <w:r>
        <w:instrText xml:space="preserve"> PAGEREF _Toc9643 \h </w:instrText>
      </w:r>
      <w:r>
        <w:fldChar w:fldCharType="separate"/>
      </w:r>
      <w:r>
        <w:t>21</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_Toc10748 </w:instrText>
      </w:r>
      <w:r>
        <w:rPr>
          <w:rFonts w:ascii="Times New Roman" w:hAnsi="Times New Roman" w:eastAsia="宋体" w:cs="Times New Roman"/>
          <w:kern w:val="0"/>
          <w:szCs w:val="22"/>
          <w:highlight w:val="none"/>
        </w:rPr>
        <w:fldChar w:fldCharType="separate"/>
      </w:r>
      <w:r>
        <w:rPr>
          <w:rFonts w:ascii="Times New Roman" w:hAnsi="Times New Roman"/>
          <w:kern w:val="44"/>
          <w:szCs w:val="44"/>
          <w:highlight w:val="none"/>
        </w:rPr>
        <w:t>第</w:t>
      </w:r>
      <w:r>
        <w:rPr>
          <w:rFonts w:hint="eastAsia" w:ascii="Times New Roman" w:hAnsi="Times New Roman"/>
          <w:kern w:val="44"/>
          <w:szCs w:val="44"/>
          <w:highlight w:val="none"/>
          <w:lang w:val="en-US" w:eastAsia="zh-CN"/>
        </w:rPr>
        <w:t>三十七</w:t>
      </w:r>
      <w:r>
        <w:rPr>
          <w:rFonts w:ascii="Times New Roman" w:hAnsi="Times New Roman"/>
          <w:kern w:val="44"/>
          <w:szCs w:val="44"/>
          <w:highlight w:val="none"/>
        </w:rPr>
        <w:t>条：规划实施保障措施</w:t>
      </w:r>
      <w:r>
        <w:tab/>
      </w:r>
      <w:r>
        <w:fldChar w:fldCharType="begin"/>
      </w:r>
      <w:r>
        <w:instrText xml:space="preserve"> PAGEREF _Toc10748 \h </w:instrText>
      </w:r>
      <w:r>
        <w:fldChar w:fldCharType="separate"/>
      </w:r>
      <w:r>
        <w:t>21</w:t>
      </w:r>
      <w:r>
        <w:fldChar w:fldCharType="end"/>
      </w:r>
      <w:r>
        <w:rPr>
          <w:rFonts w:ascii="Times New Roman" w:hAnsi="Times New Roman" w:eastAsia="宋体" w:cs="Times New Roman"/>
          <w:color w:val="auto"/>
          <w:kern w:val="0"/>
          <w:szCs w:val="22"/>
          <w:highlight w:val="none"/>
        </w:rPr>
        <w:fldChar w:fldCharType="end"/>
      </w:r>
    </w:p>
    <w:p>
      <w:pPr>
        <w:pStyle w:val="19"/>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_Toc9630 </w:instrText>
      </w:r>
      <w:r>
        <w:rPr>
          <w:rFonts w:ascii="Times New Roman" w:hAnsi="Times New Roman" w:eastAsia="宋体" w:cs="Times New Roman"/>
          <w:kern w:val="0"/>
          <w:szCs w:val="22"/>
          <w:highlight w:val="none"/>
        </w:rPr>
        <w:fldChar w:fldCharType="separate"/>
      </w:r>
      <w:r>
        <w:rPr>
          <w:rFonts w:hint="eastAsia"/>
          <w:highlight w:val="none"/>
          <w:lang w:eastAsia="zh-CN"/>
        </w:rPr>
        <w:t>第十</w:t>
      </w:r>
      <w:r>
        <w:rPr>
          <w:rFonts w:hint="eastAsia"/>
          <w:highlight w:val="none"/>
          <w:lang w:val="en-US" w:eastAsia="zh-CN"/>
        </w:rPr>
        <w:t>一</w:t>
      </w:r>
      <w:r>
        <w:rPr>
          <w:rFonts w:hint="eastAsia"/>
          <w:highlight w:val="none"/>
          <w:lang w:eastAsia="zh-CN"/>
        </w:rPr>
        <w:t>章</w:t>
      </w:r>
      <w:r>
        <w:rPr>
          <w:rFonts w:hint="default"/>
          <w:highlight w:val="none"/>
          <w:lang w:eastAsia="zh-CN"/>
        </w:rPr>
        <w:t xml:space="preserve"> </w:t>
      </w:r>
      <w:r>
        <w:rPr>
          <w:rFonts w:hint="eastAsia"/>
          <w:highlight w:val="none"/>
          <w:lang w:val="en-US" w:eastAsia="zh-CN"/>
        </w:rPr>
        <w:t xml:space="preserve"> </w:t>
      </w:r>
      <w:r>
        <w:rPr>
          <w:rFonts w:hint="eastAsia"/>
          <w:highlight w:val="none"/>
          <w:lang w:eastAsia="zh-CN"/>
        </w:rPr>
        <w:t>附则</w:t>
      </w:r>
      <w:r>
        <w:tab/>
      </w:r>
      <w:r>
        <w:fldChar w:fldCharType="begin"/>
      </w:r>
      <w:r>
        <w:instrText xml:space="preserve"> PAGEREF _Toc9630 \h </w:instrText>
      </w:r>
      <w:r>
        <w:fldChar w:fldCharType="separate"/>
      </w:r>
      <w:r>
        <w:t>23</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_Toc11554 </w:instrText>
      </w:r>
      <w:r>
        <w:rPr>
          <w:rFonts w:ascii="Times New Roman" w:hAnsi="Times New Roman" w:eastAsia="宋体" w:cs="Times New Roman"/>
          <w:kern w:val="0"/>
          <w:szCs w:val="22"/>
          <w:highlight w:val="none"/>
        </w:rPr>
        <w:fldChar w:fldCharType="separate"/>
      </w:r>
      <w:r>
        <w:rPr>
          <w:rFonts w:hint="eastAsia"/>
          <w:highlight w:val="none"/>
          <w:lang w:val="en-US" w:eastAsia="zh-CN"/>
        </w:rPr>
        <w:t>第三十八条：文件组成</w:t>
      </w:r>
      <w:r>
        <w:tab/>
      </w:r>
      <w:r>
        <w:fldChar w:fldCharType="begin"/>
      </w:r>
      <w:r>
        <w:instrText xml:space="preserve"> PAGEREF _Toc11554 \h </w:instrText>
      </w:r>
      <w:r>
        <w:fldChar w:fldCharType="separate"/>
      </w:r>
      <w:r>
        <w:t>23</w:t>
      </w:r>
      <w:r>
        <w:fldChar w:fldCharType="end"/>
      </w:r>
      <w:r>
        <w:rPr>
          <w:rFonts w:ascii="Times New Roman" w:hAnsi="Times New Roman" w:eastAsia="宋体" w:cs="Times New Roman"/>
          <w:color w:val="auto"/>
          <w:kern w:val="0"/>
          <w:szCs w:val="22"/>
          <w:highlight w:val="none"/>
        </w:rPr>
        <w:fldChar w:fldCharType="end"/>
      </w:r>
    </w:p>
    <w:p>
      <w:pPr>
        <w:pStyle w:val="23"/>
        <w:tabs>
          <w:tab w:val="right" w:leader="dot" w:pos="10253"/>
        </w:tabs>
      </w:pPr>
      <w:r>
        <w:rPr>
          <w:rFonts w:ascii="Times New Roman" w:hAnsi="Times New Roman" w:eastAsia="宋体" w:cs="Times New Roman"/>
          <w:color w:val="auto"/>
          <w:kern w:val="0"/>
          <w:szCs w:val="22"/>
          <w:highlight w:val="none"/>
        </w:rPr>
        <w:fldChar w:fldCharType="begin"/>
      </w:r>
      <w:r>
        <w:rPr>
          <w:rFonts w:ascii="Times New Roman" w:hAnsi="Times New Roman" w:eastAsia="宋体" w:cs="Times New Roman"/>
          <w:kern w:val="0"/>
          <w:szCs w:val="22"/>
          <w:highlight w:val="none"/>
        </w:rPr>
        <w:instrText xml:space="preserve"> HYPERLINK \l _Toc10952 </w:instrText>
      </w:r>
      <w:r>
        <w:rPr>
          <w:rFonts w:ascii="Times New Roman" w:hAnsi="Times New Roman" w:eastAsia="宋体" w:cs="Times New Roman"/>
          <w:kern w:val="0"/>
          <w:szCs w:val="22"/>
          <w:highlight w:val="none"/>
        </w:rPr>
        <w:fldChar w:fldCharType="separate"/>
      </w:r>
      <w:r>
        <w:rPr>
          <w:rFonts w:hint="eastAsia"/>
          <w:highlight w:val="none"/>
          <w:lang w:val="en-US" w:eastAsia="zh-CN"/>
        </w:rPr>
        <w:t>第三十九条：规划实施</w:t>
      </w:r>
      <w:r>
        <w:tab/>
      </w:r>
      <w:r>
        <w:fldChar w:fldCharType="begin"/>
      </w:r>
      <w:r>
        <w:instrText xml:space="preserve"> PAGEREF _Toc10952 \h </w:instrText>
      </w:r>
      <w:r>
        <w:fldChar w:fldCharType="separate"/>
      </w:r>
      <w:r>
        <w:t>23</w:t>
      </w:r>
      <w:r>
        <w:fldChar w:fldCharType="end"/>
      </w:r>
      <w:r>
        <w:rPr>
          <w:rFonts w:ascii="Times New Roman" w:hAnsi="Times New Roman" w:eastAsia="宋体" w:cs="Times New Roman"/>
          <w:color w:val="auto"/>
          <w:kern w:val="0"/>
          <w:szCs w:val="22"/>
          <w:highlight w:val="none"/>
        </w:rPr>
        <w:fldChar w:fldCharType="end"/>
      </w:r>
    </w:p>
    <w:p>
      <w:pPr>
        <w:rPr>
          <w:rFonts w:ascii="Times New Roman" w:hAnsi="Times New Roman" w:eastAsia="宋体" w:cs="Times New Roman"/>
          <w:color w:val="auto"/>
          <w:kern w:val="0"/>
          <w:sz w:val="24"/>
          <w:szCs w:val="22"/>
          <w:highlight w:val="none"/>
        </w:rPr>
        <w:sectPr>
          <w:headerReference r:id="rId6" w:type="default"/>
          <w:footerReference r:id="rId7" w:type="default"/>
          <w:pgSz w:w="23811" w:h="16838" w:orient="landscape"/>
          <w:pgMar w:top="1440" w:right="1440" w:bottom="1440" w:left="1440" w:header="851" w:footer="992" w:gutter="0"/>
          <w:pgBorders w:offsetFrom="page">
            <w:top w:val="none" w:sz="0" w:space="0"/>
            <w:left w:val="none" w:sz="0" w:space="0"/>
            <w:bottom w:val="none" w:sz="0" w:space="0"/>
            <w:right w:val="none" w:sz="0" w:space="0"/>
          </w:pgBorders>
          <w:cols w:space="425" w:num="2"/>
          <w:docGrid w:type="lines" w:linePitch="312" w:charSpace="0"/>
        </w:sectPr>
      </w:pPr>
      <w:r>
        <w:rPr>
          <w:rFonts w:ascii="Times New Roman" w:hAnsi="Times New Roman" w:eastAsia="宋体" w:cs="Times New Roman"/>
          <w:color w:val="auto"/>
          <w:kern w:val="0"/>
          <w:szCs w:val="22"/>
          <w:highlight w:val="none"/>
        </w:rPr>
        <w:fldChar w:fldCharType="end"/>
      </w:r>
    </w:p>
    <w:p>
      <w:pPr>
        <w:pStyle w:val="2"/>
        <w:rPr>
          <w:rFonts w:hint="eastAsia"/>
          <w:color w:val="auto"/>
          <w:highlight w:val="none"/>
        </w:rPr>
      </w:pPr>
      <w:bookmarkStart w:id="1" w:name="_Toc9157"/>
      <w:bookmarkStart w:id="2" w:name="_Toc15114"/>
      <w:r>
        <w:rPr>
          <w:rFonts w:hint="eastAsia"/>
          <w:color w:val="auto"/>
          <w:highlight w:val="none"/>
        </w:rPr>
        <w:t>第一章  总  则</w:t>
      </w:r>
      <w:bookmarkEnd w:id="1"/>
      <w:bookmarkEnd w:id="2"/>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宋体" w:cs="Times New Roman"/>
          <w:color w:val="auto"/>
          <w:sz w:val="30"/>
          <w:szCs w:val="30"/>
          <w:highlight w:val="none"/>
        </w:rPr>
      </w:pPr>
      <w:r>
        <w:rPr>
          <w:rFonts w:ascii="Times New Roman" w:hAnsi="Times New Roman" w:eastAsia="宋体" w:cs="Times New Roman"/>
          <w:color w:val="auto"/>
          <w:sz w:val="28"/>
          <w:szCs w:val="28"/>
          <w:highlight w:val="none"/>
          <w:lang w:bidi="th-TH"/>
        </w:rPr>
        <w:t>为完善</w:t>
      </w:r>
      <w:r>
        <w:rPr>
          <w:rFonts w:hint="eastAsia" w:ascii="Times New Roman" w:hAnsi="Times New Roman" w:eastAsia="宋体" w:cs="Times New Roman"/>
          <w:color w:val="auto"/>
          <w:sz w:val="28"/>
          <w:szCs w:val="28"/>
          <w:highlight w:val="none"/>
          <w:lang w:val="en-US" w:eastAsia="zh-CN" w:bidi="th-TH"/>
        </w:rPr>
        <w:t>抚顺高新技术产业开发区的</w:t>
      </w:r>
      <w:r>
        <w:rPr>
          <w:rFonts w:ascii="Times New Roman" w:hAnsi="Times New Roman" w:eastAsia="宋体" w:cs="Times New Roman"/>
          <w:color w:val="auto"/>
          <w:sz w:val="28"/>
          <w:szCs w:val="28"/>
          <w:highlight w:val="none"/>
          <w:lang w:bidi="th-TH"/>
        </w:rPr>
        <w:t>功能、促进</w:t>
      </w:r>
      <w:r>
        <w:rPr>
          <w:rFonts w:hint="eastAsia" w:ascii="Times New Roman" w:hAnsi="Times New Roman" w:eastAsia="宋体" w:cs="Times New Roman"/>
          <w:color w:val="auto"/>
          <w:sz w:val="28"/>
          <w:szCs w:val="28"/>
          <w:highlight w:val="none"/>
          <w:lang w:val="en-US" w:eastAsia="zh-CN" w:bidi="th-TH"/>
        </w:rPr>
        <w:t>园区</w:t>
      </w:r>
      <w:r>
        <w:rPr>
          <w:rFonts w:ascii="Times New Roman" w:hAnsi="Times New Roman" w:eastAsia="宋体" w:cs="Times New Roman"/>
          <w:color w:val="auto"/>
          <w:sz w:val="28"/>
          <w:szCs w:val="28"/>
          <w:highlight w:val="none"/>
          <w:lang w:bidi="th-TH"/>
        </w:rPr>
        <w:t>建设，为燃气工程建设及政府审批提供技术依据，特制定本规划。</w:t>
      </w:r>
    </w:p>
    <w:p>
      <w:pPr>
        <w:pStyle w:val="3"/>
        <w:bidi w:val="0"/>
        <w:rPr>
          <w:rFonts w:hint="eastAsia"/>
          <w:color w:val="auto"/>
          <w:highlight w:val="none"/>
          <w:lang w:val="en-US" w:eastAsia="zh-CN"/>
        </w:rPr>
      </w:pPr>
      <w:bookmarkStart w:id="3" w:name="_Toc13114"/>
      <w:bookmarkStart w:id="4" w:name="_Toc18982"/>
      <w:r>
        <w:rPr>
          <w:rFonts w:hint="eastAsia"/>
          <w:color w:val="auto"/>
          <w:highlight w:val="none"/>
          <w:lang w:val="en-US" w:eastAsia="zh-CN"/>
        </w:rPr>
        <w:t>第一条：规划背景</w:t>
      </w:r>
      <w:bookmarkEnd w:id="3"/>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szCs w:val="28"/>
          <w:highlight w:val="none"/>
          <w:lang w:val="en-US" w:eastAsia="zh-CN" w:bidi="th-TH"/>
        </w:rPr>
      </w:pPr>
      <w:r>
        <w:rPr>
          <w:rFonts w:hint="eastAsia" w:ascii="Times New Roman" w:hAnsi="Times New Roman" w:eastAsia="宋体" w:cs="Times New Roman"/>
          <w:color w:val="auto"/>
          <w:sz w:val="28"/>
          <w:szCs w:val="28"/>
          <w:highlight w:val="none"/>
          <w:lang w:val="en-US" w:eastAsia="zh-CN" w:bidi="th-TH"/>
        </w:rPr>
        <w:t>1、国家层面</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szCs w:val="28"/>
          <w:highlight w:val="none"/>
          <w:lang w:val="en-US" w:eastAsia="zh-CN" w:bidi="th-TH"/>
        </w:rPr>
      </w:pPr>
      <w:r>
        <w:rPr>
          <w:rFonts w:hint="eastAsia" w:ascii="Times New Roman" w:hAnsi="Times New Roman" w:eastAsia="宋体" w:cs="Times New Roman"/>
          <w:color w:val="auto"/>
          <w:sz w:val="28"/>
          <w:szCs w:val="28"/>
          <w:highlight w:val="none"/>
          <w:lang w:val="en-US" w:eastAsia="zh-CN" w:bidi="th-TH"/>
        </w:rPr>
        <w:t>（1）《城镇燃气管理条例》（国务院令 第583号）</w:t>
      </w:r>
    </w:p>
    <w:p>
      <w:pPr>
        <w:ind w:firstLine="560" w:firstLineChars="20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根据《城镇燃气管理条例》（国务院令 第583号）第八条规定：县级以上地方人民政府燃气管理部门应当会同有关部门，依据国民经济和社会发展规划、土地利用总体规划、城乡规划、能源规划以及上一级燃气发展规划，组织编制本行政区域的燃气发展规划，报本级人民政府批准后组织实施，并报上一级人民政府燃气管理部门备案。</w:t>
      </w:r>
    </w:p>
    <w:p>
      <w:pPr>
        <w:ind w:firstLine="560" w:firstLineChars="200"/>
        <w:rPr>
          <w:rFonts w:hint="eastAsia"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eastAsia="zh-CN"/>
        </w:rPr>
        <w:t>（</w:t>
      </w:r>
      <w:r>
        <w:rPr>
          <w:rFonts w:hint="eastAsia" w:ascii="Times New Roman" w:hAnsi="Times New Roman" w:cs="Times New Roman"/>
          <w:color w:val="auto"/>
          <w:sz w:val="28"/>
          <w:szCs w:val="28"/>
          <w:highlight w:val="none"/>
          <w:lang w:val="en-US" w:eastAsia="zh-CN"/>
        </w:rPr>
        <w:t>2</w:t>
      </w:r>
      <w:r>
        <w:rPr>
          <w:rFonts w:hint="eastAsia" w:ascii="Times New Roman" w:hAnsi="Times New Roman" w:cs="Times New Roman"/>
          <w:color w:val="auto"/>
          <w:sz w:val="28"/>
          <w:szCs w:val="28"/>
          <w:highlight w:val="none"/>
          <w:lang w:eastAsia="zh-CN"/>
        </w:rPr>
        <w:t>）</w:t>
      </w:r>
      <w:r>
        <w:rPr>
          <w:rFonts w:hint="eastAsia" w:ascii="Times New Roman" w:hAnsi="Times New Roman" w:cs="Times New Roman"/>
          <w:color w:val="auto"/>
          <w:sz w:val="28"/>
          <w:szCs w:val="28"/>
          <w:highlight w:val="none"/>
          <w:lang w:val="en-US" w:eastAsia="zh-CN"/>
        </w:rPr>
        <w:t>能源结构调整</w:t>
      </w:r>
    </w:p>
    <w:p>
      <w:pPr>
        <w:ind w:firstLine="560" w:firstLineChars="200"/>
        <w:rPr>
          <w:rFonts w:hint="eastAsia"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rPr>
        <w:t>习近平总书记在</w:t>
      </w:r>
      <w:r>
        <w:rPr>
          <w:rFonts w:hint="eastAsia" w:ascii="Times New Roman" w:hAnsi="Times New Roman" w:cs="Times New Roman"/>
          <w:color w:val="auto"/>
          <w:sz w:val="28"/>
          <w:szCs w:val="28"/>
          <w:highlight w:val="none"/>
          <w:lang w:eastAsia="zh-CN"/>
        </w:rPr>
        <w:t>党的二十大报告中指出：立足我国能源资源禀赋，坚持先立后破，有计划分步骤实施碳达峰行动。深入推进能源革命，加强煤炭清洁高效利用，加快规划建设新型能源体系，积极参与应对气候变化全球治理。其中，过去五年和新时代十年的伟大变革中，提出并贯彻新发展理念，着力推进高质量发展，推动构建新发展格局，一些关键核心技术实现突破，战略性新兴产业发展壮大。坚持“绿水青山就是金山银山”的理念，坚持山水林田湖草沙一体化保护和系统治理，生态文明制度体系更加健全，生态环境保护发生历史性、转折性、全局性变化，我们的祖国天更蓝、山更绿、水更清。推进美丽中国建设，坚持山水林田湖草沙一体化保护和系统治理，统筹产业结构调整、污染治理、生态保护、应对气候变化，协同推进降碳、减污、扩绿、增长，推进生态优先、节约集约、绿色低碳发展。增强维护国家安全能力，坚定维护国家政权安全、制度安全、意识形态安全，确保粮食、能源资源、重要产业链供应链安全，维护我国公民、法人在海外合法权益，筑牢国家安全人民防线。</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rPr>
        <w:t>天然气作为优质、高效、清洁的低碳能源，与核能及可再生能源等低排放能源形成良性互补，是我国能源供应清洁化、低碳化转型、有效治理大气污染、积极应对气候变化等生态环境问题的现实选择和必由之路。大力发展天然气，减</w:t>
      </w:r>
      <w:r>
        <w:rPr>
          <w:rFonts w:ascii="Times New Roman" w:hAnsi="Times New Roman" w:cs="Times New Roman"/>
          <w:color w:val="auto"/>
          <w:sz w:val="28"/>
          <w:szCs w:val="28"/>
          <w:highlight w:val="none"/>
          <w:lang w:bidi="th-TH"/>
        </w:rPr>
        <w:t>少对煤、石油的依赖，是我国政府的一项重要举措。</w:t>
      </w:r>
    </w:p>
    <w:p>
      <w:pPr>
        <w:ind w:firstLine="560" w:firstLineChars="200"/>
        <w:rPr>
          <w:rFonts w:hint="eastAsia" w:ascii="Times New Roman" w:hAnsi="Times New Roman" w:cs="Times New Roman"/>
          <w:color w:val="auto"/>
          <w:sz w:val="28"/>
          <w:szCs w:val="28"/>
          <w:highlight w:val="none"/>
          <w:lang w:eastAsia="zh-CN" w:bidi="th-TH"/>
        </w:rPr>
      </w:pP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3</w:t>
      </w:r>
      <w:r>
        <w:rPr>
          <w:rFonts w:hint="eastAsia" w:ascii="Times New Roman" w:hAnsi="Times New Roman" w:cs="Times New Roman"/>
          <w:color w:val="auto"/>
          <w:sz w:val="28"/>
          <w:szCs w:val="28"/>
          <w:highlight w:val="none"/>
          <w:lang w:eastAsia="zh-CN" w:bidi="th-TH"/>
        </w:rPr>
        <w:t>）《“十四五”全国城市基础设施建设规划》</w:t>
      </w:r>
    </w:p>
    <w:p>
      <w:pPr>
        <w:ind w:firstLine="560" w:firstLineChars="200"/>
        <w:jc w:val="left"/>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bidi="th-TH"/>
        </w:rPr>
        <w:t>城市基础设施是保障城市正常运行和健康发展的物质基础，也是实现经济转型的重要支撑、改善民生的重要抓手、防范安全风险的重要保障。构建系统完备、高效实用、智能绿色、安全可靠的现代化基础设施体系，对更好地推进以人为核心的城镇化，畅通国内大循环，促进国内国际双循环，扩大内需，推动高质量发展具有重大意义，是确保“十四五”时期城市社会经济全面、协调、可持续发展开好局起好步的重要基础。</w:t>
      </w:r>
    </w:p>
    <w:p>
      <w:pPr>
        <w:ind w:firstLine="560" w:firstLineChars="200"/>
        <w:rPr>
          <w:rFonts w:hint="eastAsia" w:ascii="Times New Roman" w:hAnsi="Times New Roman" w:cs="Times New Roman" w:eastAsiaTheme="minorEastAsia"/>
          <w:color w:val="auto"/>
          <w:sz w:val="28"/>
          <w:szCs w:val="28"/>
          <w:highlight w:val="none"/>
          <w:lang w:val="en-US" w:eastAsia="zh-CN" w:bidi="th-TH"/>
        </w:rPr>
      </w:pPr>
      <w:r>
        <w:rPr>
          <w:rFonts w:hint="eastAsia" w:ascii="Times New Roman" w:hAnsi="Times New Roman" w:cs="Times New Roman"/>
          <w:color w:val="auto"/>
          <w:sz w:val="28"/>
          <w:szCs w:val="28"/>
          <w:highlight w:val="none"/>
          <w:lang w:bidi="th-TH"/>
        </w:rPr>
        <w:t>规划中强调，增强城镇燃气安全供应保障能力。结合城市更新等工作，加快推进城镇燃气管网等设施建设改造与服务延伸，提升城镇管道燃气普及率。因地制宜拓展天然气在发电调峰、工业锅炉窑炉、清洁取暖、分布式能源和交通运输等领域的应用。在有条件的城市群，提高燃气设施的区域一体化和管网互联互通程度。强化城镇燃气安全监管，加快用户端本质安全设施推广。开展城镇燃气特许经营实施评估与检查工作，整治瓶装液化石油气行业违法经营等行为，规范液化石油气市场环境，加强燃气管网第三方破坏等安全风险整治和消除用户使用环节安全隐患，落实餐饮等行业生产经营单位使用燃气应安装可燃气体报警装置并保障其正常使用的要求</w:t>
      </w:r>
      <w:r>
        <w:rPr>
          <w:rFonts w:hint="eastAsia" w:ascii="Times New Roman" w:hAnsi="Times New Roman" w:cs="Times New Roman"/>
          <w:color w:val="auto"/>
          <w:sz w:val="28"/>
          <w:szCs w:val="28"/>
          <w:highlight w:val="none"/>
          <w:lang w:eastAsia="zh-CN" w:bidi="th-TH"/>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szCs w:val="28"/>
          <w:highlight w:val="none"/>
          <w:lang w:val="en-US" w:eastAsia="zh-CN" w:bidi="th-TH"/>
        </w:rPr>
      </w:pPr>
      <w:r>
        <w:rPr>
          <w:rFonts w:hint="eastAsia" w:ascii="Times New Roman" w:hAnsi="Times New Roman" w:eastAsia="宋体" w:cs="Times New Roman"/>
          <w:color w:val="auto"/>
          <w:sz w:val="28"/>
          <w:szCs w:val="28"/>
          <w:highlight w:val="none"/>
          <w:lang w:val="en-US" w:eastAsia="zh-CN" w:bidi="th-TH"/>
        </w:rPr>
        <w:t>2、省级层面</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szCs w:val="28"/>
          <w:highlight w:val="none"/>
          <w:lang w:val="en-US" w:eastAsia="zh-CN" w:bidi="th-TH"/>
        </w:rPr>
      </w:pPr>
      <w:r>
        <w:rPr>
          <w:rFonts w:hint="eastAsia" w:ascii="Times New Roman" w:hAnsi="Times New Roman" w:eastAsia="宋体" w:cs="Times New Roman"/>
          <w:color w:val="auto"/>
          <w:sz w:val="28"/>
          <w:szCs w:val="28"/>
          <w:highlight w:val="none"/>
          <w:lang w:val="en-US" w:eastAsia="zh-CN" w:bidi="th-TH"/>
        </w:rPr>
        <w:t>（1）《关于加快推动“气化辽宁”工作方案》（辽政办发〔2017〕75号）</w:t>
      </w:r>
    </w:p>
    <w:p>
      <w:pPr>
        <w:ind w:firstLine="560" w:firstLineChars="200"/>
        <w:rPr>
          <w:rFonts w:hint="eastAsia"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bidi="th-TH"/>
        </w:rPr>
        <w:t>为深入落实《中共辽宁省委、辽宁省人民政府关于加强大气污染治理工作的实施意见》和《加快推进天然气利用的意见》的部署和要求，进一步培育扩大天然气下游市场，促进天然气利用加快发展，2017年8月辽政办发布《气化辽宁》工作方案。全面推动“气化辽宁”，加快天然气利用发展，扩大天然气利用规模，提高天然气在能源消费中的比重。</w:t>
      </w:r>
    </w:p>
    <w:p>
      <w:pPr>
        <w:ind w:firstLine="560" w:firstLineChars="200"/>
        <w:rPr>
          <w:rFonts w:hint="eastAsia" w:ascii="Times New Roman" w:hAnsi="Times New Roman" w:cs="Times New Roman"/>
          <w:color w:val="auto"/>
          <w:sz w:val="28"/>
          <w:szCs w:val="28"/>
          <w:highlight w:val="none"/>
          <w:lang w:eastAsia="zh-CN" w:bidi="th-TH"/>
        </w:rPr>
      </w:pP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2</w:t>
      </w:r>
      <w:r>
        <w:rPr>
          <w:rFonts w:hint="eastAsia" w:ascii="Times New Roman" w:hAnsi="Times New Roman" w:cs="Times New Roman"/>
          <w:color w:val="auto"/>
          <w:sz w:val="28"/>
          <w:szCs w:val="28"/>
          <w:highlight w:val="none"/>
          <w:lang w:eastAsia="zh-CN" w:bidi="th-TH"/>
        </w:rPr>
        <w:t>）《辽宁省城镇燃气管理条例》（辽宁省人民代表大会常务委员会公告﹝十三届﹞第六十六号）</w:t>
      </w:r>
    </w:p>
    <w:p>
      <w:pPr>
        <w:ind w:firstLine="560" w:firstLineChars="200"/>
        <w:rPr>
          <w:rFonts w:hint="eastAsia"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bidi="th-TH"/>
        </w:rPr>
        <w:t>《辽宁省城镇燃气管理条例》第九条指出：燃气管理部门应当会同有关部门，依据国民经济和社会发展规划、国土空间规划、能源规划以及上一级燃气发展规划，结合本地实际，组织编制本行政区域的燃气发展规划，报本级人民政府批准后组织实施，并报上一级人民政府燃气管理部门备案。</w:t>
      </w:r>
    </w:p>
    <w:p>
      <w:pPr>
        <w:ind w:firstLine="560" w:firstLineChars="200"/>
        <w:rPr>
          <w:rFonts w:hint="eastAsia" w:ascii="Times New Roman" w:hAnsi="Times New Roman" w:cs="Times New Roman"/>
          <w:color w:val="auto"/>
          <w:sz w:val="28"/>
          <w:szCs w:val="28"/>
          <w:highlight w:val="none"/>
          <w:lang w:eastAsia="zh-CN" w:bidi="th-TH"/>
        </w:rPr>
      </w:pP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3</w:t>
      </w:r>
      <w:r>
        <w:rPr>
          <w:rFonts w:hint="eastAsia" w:ascii="Times New Roman" w:hAnsi="Times New Roman" w:cs="Times New Roman"/>
          <w:color w:val="auto"/>
          <w:sz w:val="28"/>
          <w:szCs w:val="28"/>
          <w:highlight w:val="none"/>
          <w:lang w:eastAsia="zh-CN" w:bidi="th-TH"/>
        </w:rPr>
        <w:t>）《辽宁省“十四五”能源发展规划》</w:t>
      </w:r>
    </w:p>
    <w:p>
      <w:pPr>
        <w:ind w:firstLine="560" w:firstLineChars="200"/>
        <w:rPr>
          <w:rFonts w:hint="eastAsia" w:ascii="Times New Roman" w:hAnsi="Times New Roman" w:cs="Times New Roman"/>
          <w:color w:val="auto"/>
          <w:sz w:val="28"/>
          <w:szCs w:val="28"/>
          <w:highlight w:val="none"/>
          <w:lang w:val="en-US" w:eastAsia="zh-CN" w:bidi="th-TH"/>
        </w:rPr>
      </w:pPr>
      <w:r>
        <w:rPr>
          <w:rFonts w:hint="eastAsia" w:ascii="Times New Roman" w:hAnsi="Times New Roman" w:cs="Times New Roman"/>
          <w:b w:val="0"/>
          <w:bCs w:val="0"/>
          <w:color w:val="auto"/>
          <w:sz w:val="28"/>
          <w:szCs w:val="28"/>
          <w:highlight w:val="none"/>
          <w:lang w:val="en-US" w:eastAsia="zh-CN" w:bidi="th-TH"/>
        </w:rPr>
        <w:t>《辽宁省“十四五”能源发展规划》中提出：</w:t>
      </w:r>
      <w:r>
        <w:rPr>
          <w:rFonts w:hint="eastAsia" w:ascii="Times New Roman" w:hAnsi="Times New Roman" w:cs="Times New Roman"/>
          <w:color w:val="auto"/>
          <w:sz w:val="28"/>
          <w:szCs w:val="28"/>
          <w:highlight w:val="none"/>
          <w:lang w:val="en-US" w:eastAsia="zh-CN" w:bidi="th-TH"/>
        </w:rPr>
        <w:t>落实管行业必须管安全等原则，切实加强油气管道保护。加强与大型上游企业战略合作，扩大油气调入规模。落实《全国储气能力建设实施方案》，优先依托属地及周边“大库大站”履行储气责任。积极推进储气调峰设施建设，加快建立以地下储气库和沿海LNG接收站为主、重点地区内陆集约规模化LNG储罐为辅、管网互联互通为支撑的多层次储气系统。逐步完善天然气储气调峰辅助服务市场，落实地方政府和企业储气调峰责任，实现城镇燃气企业不低于其年用气量5%、县级以上地方人民政府不低于日均3天需求量的储气能力。</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szCs w:val="28"/>
          <w:highlight w:val="none"/>
          <w:lang w:val="en-US" w:eastAsia="zh-CN" w:bidi="th-TH"/>
        </w:rPr>
      </w:pPr>
      <w:r>
        <w:rPr>
          <w:rFonts w:hint="eastAsia" w:ascii="Times New Roman" w:hAnsi="Times New Roman" w:eastAsia="宋体" w:cs="Times New Roman"/>
          <w:color w:val="auto"/>
          <w:sz w:val="28"/>
          <w:szCs w:val="28"/>
          <w:highlight w:val="none"/>
          <w:lang w:val="en-US" w:eastAsia="zh-CN" w:bidi="th-TH"/>
        </w:rPr>
        <w:t>3、市级层面</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szCs w:val="28"/>
          <w:highlight w:val="none"/>
          <w:lang w:val="en-US" w:eastAsia="zh-CN" w:bidi="th-TH"/>
        </w:rPr>
      </w:pPr>
      <w:r>
        <w:rPr>
          <w:rFonts w:hint="eastAsia" w:ascii="Times New Roman" w:hAnsi="Times New Roman" w:eastAsia="宋体" w:cs="Times New Roman"/>
          <w:color w:val="auto"/>
          <w:sz w:val="28"/>
          <w:szCs w:val="28"/>
          <w:highlight w:val="none"/>
          <w:lang w:val="en-US" w:eastAsia="zh-CN" w:bidi="th-TH"/>
        </w:rPr>
        <w:t>（1）《抚顺市国民经济和社会发展第十四个五年规划纲要》</w:t>
      </w:r>
    </w:p>
    <w:p>
      <w:pPr>
        <w:ind w:firstLine="560" w:firstLineChars="200"/>
        <w:rPr>
          <w:rFonts w:hint="eastAsia"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bidi="th-TH"/>
        </w:rPr>
        <w:t>加大新型清洁能源基础设施建设力度</w:t>
      </w: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bidi="th-TH"/>
        </w:rPr>
        <w:t>培育新型清洁能源产业。逐步增加天然气在发电、供热、交通等领域的利用，加大非化石能源开发力度，以“等量替换”方式，提升清洁能源项目装机比重。</w:t>
      </w:r>
    </w:p>
    <w:p>
      <w:pPr>
        <w:ind w:firstLine="560" w:firstLineChars="200"/>
        <w:rPr>
          <w:rFonts w:hint="eastAsia"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bidi="th-TH"/>
        </w:rPr>
        <w:t>提高能源生产利用效率。深化供给侧结构性改革，压减高耗能行业过剩产能。深入推进工业、建筑、交通、公共机构、商贸流通等重点领域节能降耗。引进专业团队设计建设智慧能源管理系统，采用分层分布式系统体系结构，推动节能应用。</w:t>
      </w:r>
    </w:p>
    <w:p>
      <w:pPr>
        <w:ind w:firstLine="560" w:firstLineChars="200"/>
        <w:rPr>
          <w:rFonts w:hint="eastAsia"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bidi="th-TH"/>
        </w:rPr>
        <w:t>推进能源绿色低碳发展。深化能源供给侧结构性改革，提高煤炭清洁高效利用水平，加快发展抽水蓄能、风电、光伏和生物质发电等清洁能源产业，推动社会电气化水平提升。优化完善能源消费结构，强化能源消费总量和消耗强度“双控”，促进全社会能源利用效率提升。</w:t>
      </w:r>
    </w:p>
    <w:p>
      <w:pPr>
        <w:ind w:firstLine="560" w:firstLineChars="200"/>
        <w:rPr>
          <w:rFonts w:hint="eastAsia" w:ascii="Times New Roman" w:hAnsi="Times New Roman" w:cs="Times New Roman"/>
          <w:color w:val="auto"/>
          <w:sz w:val="28"/>
          <w:szCs w:val="28"/>
          <w:highlight w:val="none"/>
          <w:lang w:eastAsia="zh-CN" w:bidi="th-TH"/>
        </w:rPr>
      </w:pPr>
      <w:r>
        <w:rPr>
          <w:rFonts w:hint="eastAsia" w:ascii="Times New Roman" w:hAnsi="Times New Roman" w:cs="Times New Roman"/>
          <w:color w:val="auto"/>
          <w:sz w:val="28"/>
          <w:szCs w:val="28"/>
          <w:highlight w:val="none"/>
          <w:lang w:bidi="th-TH"/>
        </w:rPr>
        <w:t>强化能源安全保障能力。加强区域内能源资源勘探开发，支持煤炭精细化开采和储煤基地建设，推动成品油储备和天然气储气能力建设，推进城市热力管网、城镇燃气管网的建设覆盖。加快形成油、气和新能源协调发展的能源供应、应急储备体系，提高能源安全保障水平。</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auto"/>
          <w:sz w:val="28"/>
          <w:szCs w:val="28"/>
          <w:highlight w:val="none"/>
          <w:lang w:eastAsia="zh-CN" w:bidi="th-TH"/>
        </w:rPr>
      </w:pP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2</w:t>
      </w:r>
      <w:r>
        <w:rPr>
          <w:rFonts w:hint="eastAsia" w:ascii="Times New Roman" w:hAnsi="Times New Roman" w:cs="Times New Roman"/>
          <w:color w:val="auto"/>
          <w:sz w:val="28"/>
          <w:szCs w:val="28"/>
          <w:highlight w:val="none"/>
          <w:lang w:eastAsia="zh-CN" w:bidi="th-TH"/>
        </w:rPr>
        <w:t>）《抚顺市人民政府办公室关于印发抚顺市“十四五”能源发展规划的通知》（抚政办发〔2022〕41号）</w:t>
      </w:r>
    </w:p>
    <w:p>
      <w:pPr>
        <w:ind w:firstLine="560" w:firstLineChars="200"/>
        <w:rPr>
          <w:rFonts w:hint="eastAsia" w:ascii="Times New Roman" w:hAnsi="Times New Roman" w:cs="Times New Roman"/>
          <w:color w:val="auto"/>
          <w:sz w:val="28"/>
          <w:szCs w:val="28"/>
          <w:highlight w:val="none"/>
          <w:lang w:val="en-US" w:eastAsia="zh-CN" w:bidi="th-TH"/>
        </w:rPr>
      </w:pPr>
      <w:r>
        <w:rPr>
          <w:rFonts w:hint="eastAsia" w:ascii="Times New Roman" w:hAnsi="Times New Roman" w:cs="Times New Roman"/>
          <w:color w:val="auto"/>
          <w:sz w:val="28"/>
          <w:szCs w:val="28"/>
          <w:highlight w:val="none"/>
          <w:lang w:val="en-US" w:eastAsia="zh-CN" w:bidi="th-TH"/>
        </w:rPr>
        <w:t>强化基础设施建设，推进能源安全发展：探索推进油、气、电、氢“四位一体”综合能源站点建设。加快天然气管道建设，推进城市热力管网、城镇燃气管网的建设覆盖。</w:t>
      </w:r>
    </w:p>
    <w:p>
      <w:pPr>
        <w:ind w:firstLine="560" w:firstLineChars="200"/>
        <w:rPr>
          <w:rFonts w:hint="default" w:ascii="Times New Roman" w:hAnsi="Times New Roman" w:cs="Times New Roman"/>
          <w:color w:val="auto"/>
          <w:sz w:val="28"/>
          <w:szCs w:val="28"/>
          <w:highlight w:val="none"/>
          <w:lang w:val="en-US" w:eastAsia="zh-CN" w:bidi="th-TH"/>
        </w:rPr>
      </w:pPr>
      <w:r>
        <w:rPr>
          <w:rFonts w:hint="eastAsia" w:ascii="Times New Roman" w:hAnsi="Times New Roman" w:cs="Times New Roman"/>
          <w:color w:val="auto"/>
          <w:sz w:val="28"/>
          <w:szCs w:val="28"/>
          <w:highlight w:val="none"/>
          <w:lang w:val="en-US" w:eastAsia="zh-CN" w:bidi="th-TH"/>
        </w:rPr>
        <w:t>加快推进城镇燃气管网建设，支持对天然气管线已到达的县（区），加快向工业园区、重点乡镇的延伸和覆盖，努力解决天然气利用“最后一公里”问题。</w:t>
      </w:r>
    </w:p>
    <w:p>
      <w:pPr>
        <w:ind w:firstLine="560" w:firstLineChars="200"/>
        <w:rPr>
          <w:rFonts w:hint="eastAsia" w:ascii="Times New Roman" w:hAnsi="Times New Roman" w:cs="Times New Roman"/>
          <w:color w:val="auto"/>
          <w:sz w:val="28"/>
          <w:szCs w:val="28"/>
          <w:highlight w:val="none"/>
          <w:lang w:val="en-US" w:eastAsia="zh-CN" w:bidi="th-TH"/>
        </w:rPr>
      </w:pPr>
      <w:r>
        <w:rPr>
          <w:rFonts w:hint="eastAsia" w:ascii="Times New Roman" w:hAnsi="Times New Roman" w:cs="Times New Roman"/>
          <w:color w:val="auto"/>
          <w:sz w:val="28"/>
          <w:szCs w:val="28"/>
          <w:highlight w:val="none"/>
          <w:lang w:val="en-US" w:eastAsia="zh-CN" w:bidi="th-TH"/>
        </w:rPr>
        <w:t>加快能源创新应用，推进能源高质量发展。培育科技创新平台、加快能源技术创新应用，夯实能源装备产业基础。提升电网智能化水平，促进清洁能源消纳。加快能源互联网建设，推动电网数字化升级和智慧能源系统构建，建设清洁低碳、高效互动、智能开放的智慧能源系统。加快源网荷储友好互动系统建设，构建高效存储、智能协同的综合能源系统。</w:t>
      </w:r>
    </w:p>
    <w:p>
      <w:pPr>
        <w:pStyle w:val="3"/>
        <w:rPr>
          <w:color w:val="auto"/>
          <w:highlight w:val="none"/>
        </w:rPr>
      </w:pPr>
      <w:bookmarkStart w:id="5" w:name="_Toc29726"/>
      <w:r>
        <w:rPr>
          <w:color w:val="auto"/>
          <w:highlight w:val="none"/>
        </w:rPr>
        <w:t>第</w:t>
      </w:r>
      <w:r>
        <w:rPr>
          <w:rFonts w:hint="eastAsia"/>
          <w:color w:val="auto"/>
          <w:highlight w:val="none"/>
          <w:lang w:val="en-US" w:eastAsia="zh-CN"/>
        </w:rPr>
        <w:t>二</w:t>
      </w:r>
      <w:r>
        <w:rPr>
          <w:color w:val="auto"/>
          <w:highlight w:val="none"/>
        </w:rPr>
        <w:t>条：</w:t>
      </w:r>
      <w:r>
        <w:rPr>
          <w:rFonts w:hint="eastAsia"/>
          <w:color w:val="auto"/>
          <w:highlight w:val="none"/>
        </w:rPr>
        <w:t>规划目的</w:t>
      </w:r>
      <w:bookmarkEnd w:id="5"/>
    </w:p>
    <w:p>
      <w:pPr>
        <w:ind w:firstLine="560" w:firstLineChars="200"/>
        <w:jc w:val="left"/>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bidi="th-TH"/>
        </w:rPr>
        <w:t>1、</w:t>
      </w:r>
      <w:r>
        <w:rPr>
          <w:rFonts w:ascii="Times New Roman" w:hAnsi="Times New Roman"/>
          <w:color w:val="auto"/>
          <w:sz w:val="28"/>
          <w:szCs w:val="28"/>
          <w:highlight w:val="none"/>
          <w:lang w:bidi="th-TH"/>
        </w:rPr>
        <w:t>调研规划范围内不同规划期内燃气市场需求量，比照规划范围内各阶段可利用的燃气资源总量，作为各级政府及燃气行业主管部门、各燃气经营单位争取、申请、协调、采购外部燃气资源的总量控制依据。燃气需求量预测本着实事求是的原则，充分考虑用户对气源价格的承受能力，按不同规划期分别进行。</w:t>
      </w:r>
    </w:p>
    <w:p>
      <w:pPr>
        <w:ind w:firstLine="560" w:firstLineChars="200"/>
        <w:jc w:val="left"/>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bidi="th-TH"/>
        </w:rPr>
        <w:t>2、</w:t>
      </w:r>
      <w:r>
        <w:rPr>
          <w:rFonts w:ascii="Times New Roman" w:hAnsi="Times New Roman"/>
          <w:color w:val="auto"/>
          <w:sz w:val="28"/>
          <w:szCs w:val="28"/>
          <w:highlight w:val="none"/>
          <w:lang w:bidi="th-TH"/>
        </w:rPr>
        <w:t>对规划范围内燃气行业的主要建设项目、建设时序作出布局和安排。结合规划范围内燃气气源资源条件，</w:t>
      </w:r>
      <w:r>
        <w:rPr>
          <w:rFonts w:ascii="Times New Roman" w:hAnsi="Times New Roman"/>
          <w:color w:val="0000FF"/>
          <w:sz w:val="28"/>
          <w:szCs w:val="28"/>
          <w:highlight w:val="none"/>
          <w:lang w:bidi="th-TH"/>
        </w:rPr>
        <w:t>按照管道天然气统筹规划、</w:t>
      </w:r>
      <w:r>
        <w:rPr>
          <w:rFonts w:ascii="Times New Roman" w:hAnsi="Times New Roman"/>
          <w:color w:val="auto"/>
          <w:sz w:val="28"/>
          <w:szCs w:val="28"/>
          <w:highlight w:val="none"/>
          <w:lang w:bidi="th-TH"/>
        </w:rPr>
        <w:t>合理布局的指导方针。本着充分利用现有设施，合理利用建设空间，科学配置资源，避免重复建设的原则对规划范围内市燃气工程主要建设项目及其建设时序作出统筹安排。</w:t>
      </w:r>
    </w:p>
    <w:p>
      <w:pPr>
        <w:ind w:firstLine="560" w:firstLineChars="200"/>
        <w:jc w:val="left"/>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bidi="th-TH"/>
        </w:rPr>
        <w:t>3、</w:t>
      </w:r>
      <w:r>
        <w:rPr>
          <w:rFonts w:ascii="Times New Roman" w:hAnsi="Times New Roman"/>
          <w:color w:val="auto"/>
          <w:sz w:val="28"/>
          <w:szCs w:val="28"/>
          <w:highlight w:val="none"/>
          <w:lang w:bidi="th-TH"/>
        </w:rPr>
        <w:t>合理确定规划范围内不同规划期的燃气气源方案及燃气工程建设方案，优化管道燃气气源的供气格局，作为指导燃气工程建设的法规性文件。</w:t>
      </w:r>
    </w:p>
    <w:p>
      <w:pPr>
        <w:ind w:firstLine="560" w:firstLineChars="200"/>
        <w:jc w:val="left"/>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bidi="th-TH"/>
        </w:rPr>
        <w:t>4、</w:t>
      </w:r>
      <w:r>
        <w:rPr>
          <w:rFonts w:ascii="Times New Roman" w:hAnsi="Times New Roman"/>
          <w:color w:val="auto"/>
          <w:sz w:val="28"/>
          <w:szCs w:val="28"/>
          <w:highlight w:val="none"/>
          <w:lang w:bidi="th-TH"/>
        </w:rPr>
        <w:t>结合规划范围内实际及本次规划确定的建设方案，为燃气利用事业的发展提供合理化建议。</w:t>
      </w:r>
    </w:p>
    <w:p>
      <w:pPr>
        <w:ind w:firstLine="560" w:firstLineChars="200"/>
        <w:jc w:val="left"/>
        <w:rPr>
          <w:color w:val="auto"/>
          <w:highlight w:val="none"/>
        </w:rPr>
      </w:pPr>
      <w:r>
        <w:rPr>
          <w:rFonts w:hint="eastAsia" w:ascii="Times New Roman" w:hAnsi="Times New Roman"/>
          <w:color w:val="auto"/>
          <w:sz w:val="28"/>
          <w:szCs w:val="28"/>
          <w:highlight w:val="none"/>
          <w:lang w:bidi="th-TH"/>
        </w:rPr>
        <w:t>5、</w:t>
      </w:r>
      <w:r>
        <w:rPr>
          <w:rFonts w:ascii="Times New Roman" w:hAnsi="Times New Roman"/>
          <w:color w:val="auto"/>
          <w:sz w:val="28"/>
          <w:szCs w:val="28"/>
          <w:highlight w:val="none"/>
          <w:lang w:bidi="th-TH"/>
        </w:rPr>
        <w:t>作为规划范围内各单项燃气工程建设单位开展前期工作的依据。</w:t>
      </w:r>
    </w:p>
    <w:p>
      <w:pPr>
        <w:pStyle w:val="3"/>
        <w:rPr>
          <w:color w:val="auto"/>
          <w:highlight w:val="none"/>
        </w:rPr>
      </w:pPr>
      <w:bookmarkStart w:id="6" w:name="_Toc28684"/>
      <w:r>
        <w:rPr>
          <w:color w:val="auto"/>
          <w:highlight w:val="none"/>
        </w:rPr>
        <w:t>第</w:t>
      </w:r>
      <w:r>
        <w:rPr>
          <w:rFonts w:hint="eastAsia"/>
          <w:color w:val="auto"/>
          <w:highlight w:val="none"/>
          <w:lang w:val="en-US" w:eastAsia="zh-CN"/>
        </w:rPr>
        <w:t>三</w:t>
      </w:r>
      <w:r>
        <w:rPr>
          <w:color w:val="auto"/>
          <w:highlight w:val="none"/>
        </w:rPr>
        <w:t>条：指导思想</w:t>
      </w:r>
      <w:bookmarkEnd w:id="4"/>
      <w:bookmarkEnd w:id="6"/>
    </w:p>
    <w:p>
      <w:pPr>
        <w:ind w:firstLine="560" w:firstLineChars="200"/>
        <w:rPr>
          <w:rFonts w:ascii="Times New Roman" w:hAnsi="Times New Roman" w:cs="Times New Roman"/>
          <w:color w:val="auto"/>
          <w:sz w:val="28"/>
          <w:szCs w:val="28"/>
          <w:highlight w:val="none"/>
          <w:lang w:bidi="th-TH"/>
        </w:rPr>
      </w:pPr>
      <w:bookmarkStart w:id="7" w:name="_Hlk98743040"/>
      <w:bookmarkStart w:id="8" w:name="_Toc13659"/>
      <w:bookmarkStart w:id="9" w:name="_Toc31365"/>
      <w:r>
        <w:rPr>
          <w:rFonts w:ascii="Times New Roman" w:hAnsi="Times New Roman" w:cs="Times New Roman"/>
          <w:color w:val="auto"/>
          <w:sz w:val="28"/>
          <w:szCs w:val="28"/>
          <w:highlight w:val="none"/>
          <w:lang w:bidi="th-TH"/>
        </w:rPr>
        <w:t>以</w:t>
      </w:r>
      <w:r>
        <w:rPr>
          <w:rFonts w:hint="eastAsia" w:ascii="Times New Roman" w:hAnsi="Times New Roman" w:cs="Times New Roman"/>
          <w:color w:val="auto"/>
          <w:sz w:val="28"/>
          <w:szCs w:val="28"/>
          <w:highlight w:val="none"/>
          <w:lang w:val="en-US" w:eastAsia="zh-CN" w:bidi="th-TH"/>
        </w:rPr>
        <w:t>习近平</w:t>
      </w:r>
      <w:r>
        <w:rPr>
          <w:rFonts w:ascii="Times New Roman" w:hAnsi="Times New Roman" w:cs="Times New Roman"/>
          <w:color w:val="auto"/>
          <w:sz w:val="28"/>
          <w:szCs w:val="28"/>
          <w:highlight w:val="none"/>
          <w:lang w:bidi="th-TH"/>
        </w:rPr>
        <w:t>新时代中国特色社会主义思想为指导，全面贯彻党的</w:t>
      </w:r>
      <w:r>
        <w:rPr>
          <w:rFonts w:hint="eastAsia" w:ascii="Times New Roman" w:hAnsi="Times New Roman" w:cs="Times New Roman"/>
          <w:color w:val="auto"/>
          <w:sz w:val="28"/>
          <w:szCs w:val="28"/>
          <w:highlight w:val="none"/>
          <w:lang w:val="en-US" w:eastAsia="zh-CN" w:bidi="th-TH"/>
        </w:rPr>
        <w:t>二十大</w:t>
      </w:r>
      <w:r>
        <w:rPr>
          <w:rFonts w:ascii="Times New Roman" w:hAnsi="Times New Roman" w:cs="Times New Roman"/>
          <w:color w:val="auto"/>
          <w:sz w:val="28"/>
          <w:szCs w:val="28"/>
          <w:highlight w:val="none"/>
          <w:lang w:bidi="th-TH"/>
        </w:rPr>
        <w:t>精神，</w:t>
      </w:r>
      <w:r>
        <w:rPr>
          <w:rFonts w:hint="eastAsia" w:ascii="Times New Roman" w:hAnsi="Times New Roman" w:cs="Times New Roman"/>
          <w:color w:val="auto"/>
          <w:sz w:val="28"/>
          <w:szCs w:val="28"/>
          <w:highlight w:val="none"/>
          <w:lang w:bidi="th-TH"/>
        </w:rPr>
        <w:t>坚持以马克思列宁主义、毛泽东思想、邓小平理论、“三个代表”重要思想、科学发展观、习近平新时代中国特色社会主义思想为指导，全面贯彻党的基本理论、基本路线、基本方略，</w:t>
      </w:r>
      <w:r>
        <w:rPr>
          <w:rFonts w:ascii="Times New Roman" w:hAnsi="Times New Roman" w:cs="Times New Roman"/>
          <w:color w:val="auto"/>
          <w:sz w:val="28"/>
          <w:szCs w:val="28"/>
          <w:highlight w:val="none"/>
          <w:lang w:bidi="th-TH"/>
        </w:rPr>
        <w:t>深入落实</w:t>
      </w:r>
      <w:r>
        <w:rPr>
          <w:rFonts w:hint="eastAsia" w:ascii="Times New Roman" w:hAnsi="Times New Roman" w:cs="Times New Roman"/>
          <w:color w:val="auto"/>
          <w:sz w:val="28"/>
          <w:szCs w:val="28"/>
          <w:highlight w:val="none"/>
          <w:lang w:eastAsia="zh-CN" w:bidi="th-TH"/>
        </w:rPr>
        <w:t>习近平总书记重要讲话精神</w:t>
      </w:r>
      <w:r>
        <w:rPr>
          <w:rFonts w:ascii="Times New Roman" w:hAnsi="Times New Roman" w:cs="Times New Roman"/>
          <w:color w:val="auto"/>
          <w:sz w:val="28"/>
          <w:szCs w:val="28"/>
          <w:highlight w:val="none"/>
          <w:lang w:bidi="th-TH"/>
        </w:rPr>
        <w:t>，牢固树立</w:t>
      </w:r>
      <w:r>
        <w:rPr>
          <w:rFonts w:hint="eastAsia" w:ascii="Times New Roman" w:hAnsi="Times New Roman" w:cs="Times New Roman"/>
          <w:color w:val="auto"/>
          <w:sz w:val="28"/>
          <w:szCs w:val="28"/>
          <w:highlight w:val="none"/>
          <w:lang w:eastAsia="zh-CN" w:bidi="th-TH"/>
        </w:rPr>
        <w:t>“</w:t>
      </w:r>
      <w:r>
        <w:rPr>
          <w:rFonts w:ascii="Times New Roman" w:hAnsi="Times New Roman" w:cs="Times New Roman"/>
          <w:color w:val="auto"/>
          <w:sz w:val="28"/>
          <w:szCs w:val="28"/>
          <w:highlight w:val="none"/>
          <w:lang w:bidi="th-TH"/>
        </w:rPr>
        <w:t>创新、协调、绿色、开放、共享</w:t>
      </w:r>
      <w:r>
        <w:rPr>
          <w:rFonts w:hint="eastAsia" w:ascii="Times New Roman" w:hAnsi="Times New Roman" w:cs="Times New Roman"/>
          <w:color w:val="auto"/>
          <w:sz w:val="28"/>
          <w:szCs w:val="28"/>
          <w:highlight w:val="none"/>
          <w:lang w:eastAsia="zh-CN" w:bidi="th-TH"/>
        </w:rPr>
        <w:t>”</w:t>
      </w:r>
      <w:r>
        <w:rPr>
          <w:rFonts w:ascii="Times New Roman" w:hAnsi="Times New Roman" w:cs="Times New Roman"/>
          <w:color w:val="auto"/>
          <w:sz w:val="28"/>
          <w:szCs w:val="28"/>
          <w:highlight w:val="none"/>
          <w:lang w:bidi="th-TH"/>
        </w:rPr>
        <w:t>的发展理念，以能源供给侧结构性改革为主线，遵循</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四个革命、一个合作</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能源发展战略，</w:t>
      </w:r>
      <w:r>
        <w:rPr>
          <w:rFonts w:hint="eastAsia" w:ascii="Times New Roman" w:hAnsi="Times New Roman" w:cs="Times New Roman"/>
          <w:color w:val="auto"/>
          <w:sz w:val="28"/>
          <w:szCs w:val="28"/>
          <w:highlight w:val="none"/>
          <w:lang w:bidi="th-TH"/>
        </w:rPr>
        <w:t>推动“双碳”目标的实现，</w:t>
      </w:r>
      <w:r>
        <w:rPr>
          <w:rFonts w:ascii="Times New Roman" w:hAnsi="Times New Roman" w:cs="Times New Roman"/>
          <w:color w:val="auto"/>
          <w:sz w:val="28"/>
          <w:szCs w:val="28"/>
          <w:highlight w:val="none"/>
          <w:lang w:bidi="th-TH"/>
        </w:rPr>
        <w:t>紧密结合</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气化</w:t>
      </w:r>
      <w:r>
        <w:rPr>
          <w:rFonts w:hint="eastAsia" w:ascii="Times New Roman" w:hAnsi="Times New Roman" w:cs="Times New Roman"/>
          <w:color w:val="auto"/>
          <w:sz w:val="28"/>
          <w:szCs w:val="28"/>
          <w:highlight w:val="none"/>
          <w:lang w:bidi="th-TH"/>
        </w:rPr>
        <w:t>辽宁”</w:t>
      </w:r>
      <w:r>
        <w:rPr>
          <w:rFonts w:ascii="Times New Roman" w:hAnsi="Times New Roman" w:cs="Times New Roman"/>
          <w:color w:val="auto"/>
          <w:sz w:val="28"/>
          <w:szCs w:val="28"/>
          <w:highlight w:val="none"/>
          <w:lang w:bidi="th-TH"/>
        </w:rPr>
        <w:t>战略，贯彻国家油气体制改革总体部署，发挥市场配置资源的决定性作用。以提高天然气在一次能源消费结构中的比重为发展目标，积极拓展天然气利用领域，</w:t>
      </w:r>
      <w:r>
        <w:rPr>
          <w:rFonts w:hint="eastAsia" w:ascii="Times New Roman" w:hAnsi="Times New Roman" w:cs="Times New Roman"/>
          <w:color w:val="auto"/>
          <w:sz w:val="28"/>
          <w:szCs w:val="28"/>
          <w:highlight w:val="none"/>
          <w:lang w:bidi="th-TH"/>
        </w:rPr>
        <w:t>着眼构建以推动天然气发展为重点、天然气与液化石油气协调发展的供应格局，</w:t>
      </w:r>
      <w:r>
        <w:rPr>
          <w:rFonts w:ascii="Times New Roman" w:hAnsi="Times New Roman" w:cs="Times New Roman"/>
          <w:color w:val="auto"/>
          <w:sz w:val="28"/>
          <w:szCs w:val="28"/>
          <w:highlight w:val="none"/>
          <w:lang w:bidi="th-TH"/>
        </w:rPr>
        <w:t>逐步把天然气培育成主体能源之一，构建结构合理、供需协调、安全可靠的现代天然气产业体系，实现调整能源结构、促进经济发展、改善民生、保障安全的发展目标。</w:t>
      </w:r>
    </w:p>
    <w:bookmarkEnd w:id="7"/>
    <w:p>
      <w:pPr>
        <w:pStyle w:val="3"/>
        <w:rPr>
          <w:color w:val="auto"/>
          <w:highlight w:val="none"/>
        </w:rPr>
      </w:pPr>
      <w:bookmarkStart w:id="10" w:name="_Toc20387"/>
      <w:r>
        <w:rPr>
          <w:color w:val="auto"/>
          <w:highlight w:val="none"/>
        </w:rPr>
        <w:t>第</w:t>
      </w:r>
      <w:r>
        <w:rPr>
          <w:rFonts w:hint="eastAsia"/>
          <w:color w:val="auto"/>
          <w:highlight w:val="none"/>
          <w:lang w:val="en-US" w:eastAsia="zh-CN"/>
        </w:rPr>
        <w:t>四</w:t>
      </w:r>
      <w:r>
        <w:rPr>
          <w:color w:val="auto"/>
          <w:highlight w:val="none"/>
        </w:rPr>
        <w:t>条：规划原则</w:t>
      </w:r>
      <w:bookmarkEnd w:id="8"/>
      <w:bookmarkEnd w:id="10"/>
    </w:p>
    <w:p>
      <w:pPr>
        <w:spacing w:line="360" w:lineRule="auto"/>
        <w:ind w:firstLine="560" w:firstLineChars="200"/>
        <w:rPr>
          <w:rFonts w:hint="eastAsia" w:ascii="Times New Roman" w:hAnsi="Times New Roman" w:cs="Times New Roman" w:eastAsiaTheme="minorEastAsia"/>
          <w:color w:val="0000FF"/>
          <w:sz w:val="28"/>
          <w:szCs w:val="28"/>
          <w:highlight w:val="none"/>
          <w:lang w:eastAsia="zh-CN"/>
        </w:rPr>
      </w:pPr>
      <w:bookmarkStart w:id="11" w:name="_Hlk99525957"/>
      <w:r>
        <w:rPr>
          <w:rFonts w:ascii="Times New Roman" w:hAnsi="Times New Roman" w:cs="Times New Roman"/>
          <w:color w:val="0000FF"/>
          <w:sz w:val="28"/>
          <w:szCs w:val="28"/>
          <w:highlight w:val="none"/>
        </w:rPr>
        <w:t>根据</w:t>
      </w:r>
      <w:r>
        <w:rPr>
          <w:rFonts w:hint="eastAsia" w:ascii="Times New Roman" w:hAnsi="Times New Roman" w:cs="Times New Roman"/>
          <w:color w:val="0000FF"/>
          <w:sz w:val="28"/>
          <w:szCs w:val="28"/>
          <w:highlight w:val="none"/>
          <w:lang w:eastAsia="zh-CN"/>
        </w:rPr>
        <w:t>抚顺高新技术产业开发区</w:t>
      </w:r>
      <w:r>
        <w:rPr>
          <w:rFonts w:ascii="Times New Roman" w:hAnsi="Times New Roman" w:cs="Times New Roman"/>
          <w:color w:val="0000FF"/>
          <w:sz w:val="28"/>
          <w:szCs w:val="28"/>
          <w:highlight w:val="none"/>
        </w:rPr>
        <w:t>天然气资源供应情况、天然气发展的相关政策</w:t>
      </w:r>
      <w:r>
        <w:rPr>
          <w:rFonts w:hint="eastAsia" w:ascii="Times New Roman" w:hAnsi="Times New Roman" w:cs="Times New Roman"/>
          <w:color w:val="0000FF"/>
          <w:sz w:val="28"/>
          <w:szCs w:val="28"/>
          <w:highlight w:val="none"/>
          <w:lang w:val="en-US" w:eastAsia="zh-CN"/>
        </w:rPr>
        <w:t>等</w:t>
      </w:r>
      <w:r>
        <w:rPr>
          <w:rFonts w:hint="eastAsia" w:ascii="Times New Roman" w:hAnsi="Times New Roman" w:cs="Times New Roman"/>
          <w:color w:val="0000FF"/>
          <w:sz w:val="28"/>
          <w:szCs w:val="28"/>
          <w:highlight w:val="none"/>
        </w:rPr>
        <w:t>，</w:t>
      </w:r>
      <w:r>
        <w:rPr>
          <w:rFonts w:ascii="Times New Roman" w:hAnsi="Times New Roman" w:cs="Times New Roman"/>
          <w:color w:val="0000FF"/>
          <w:sz w:val="28"/>
          <w:szCs w:val="28"/>
          <w:highlight w:val="none"/>
        </w:rPr>
        <w:t>确定</w:t>
      </w:r>
      <w:r>
        <w:rPr>
          <w:rFonts w:hint="eastAsia" w:ascii="Times New Roman" w:hAnsi="Times New Roman" w:cs="Times New Roman"/>
          <w:color w:val="0000FF"/>
          <w:sz w:val="28"/>
          <w:szCs w:val="28"/>
          <w:highlight w:val="none"/>
          <w:lang w:val="en-US" w:eastAsia="zh-CN"/>
        </w:rPr>
        <w:t>其</w:t>
      </w:r>
      <w:r>
        <w:rPr>
          <w:rFonts w:ascii="Times New Roman" w:hAnsi="Times New Roman" w:cs="Times New Roman"/>
          <w:color w:val="0000FF"/>
          <w:sz w:val="28"/>
          <w:szCs w:val="28"/>
          <w:highlight w:val="none"/>
        </w:rPr>
        <w:t>发展方向为：</w:t>
      </w:r>
      <w:r>
        <w:rPr>
          <w:rFonts w:hint="eastAsia" w:ascii="Times New Roman" w:hAnsi="Times New Roman" w:cs="Times New Roman"/>
          <w:color w:val="0000FF"/>
          <w:sz w:val="28"/>
          <w:szCs w:val="28"/>
          <w:highlight w:val="none"/>
        </w:rPr>
        <w:t>管道燃气主要用于工业企业加热炉及工业燃气锅炉的使用</w:t>
      </w:r>
      <w:r>
        <w:rPr>
          <w:rFonts w:hint="eastAsia" w:ascii="Times New Roman" w:hAnsi="Times New Roman" w:cs="Times New Roman"/>
          <w:color w:val="0000FF"/>
          <w:sz w:val="28"/>
          <w:szCs w:val="28"/>
          <w:highlight w:val="none"/>
          <w:lang w:eastAsia="zh-CN"/>
        </w:rPr>
        <w:t>，</w:t>
      </w:r>
      <w:r>
        <w:rPr>
          <w:rFonts w:hint="eastAsia" w:ascii="Times New Roman" w:hAnsi="Times New Roman" w:cs="Times New Roman"/>
          <w:color w:val="0000FF"/>
          <w:sz w:val="28"/>
          <w:szCs w:val="28"/>
          <w:highlight w:val="none"/>
        </w:rPr>
        <w:t>保证安全可靠供气</w:t>
      </w:r>
      <w:r>
        <w:rPr>
          <w:rFonts w:hint="eastAsia" w:ascii="Times New Roman" w:hAnsi="Times New Roman" w:cs="Times New Roman"/>
          <w:color w:val="0000FF"/>
          <w:sz w:val="28"/>
          <w:szCs w:val="28"/>
          <w:highlight w:val="none"/>
          <w:lang w:eastAsia="zh-CN"/>
        </w:rPr>
        <w:t>。</w:t>
      </w:r>
    </w:p>
    <w:p>
      <w:pPr>
        <w:spacing w:line="360" w:lineRule="auto"/>
        <w:ind w:firstLine="562" w:firstLineChars="200"/>
        <w:rPr>
          <w:rFonts w:ascii="Times New Roman" w:hAnsi="Times New Roman" w:cs="Times New Roman"/>
          <w:b/>
          <w:bCs/>
          <w:color w:val="auto"/>
          <w:sz w:val="28"/>
          <w:szCs w:val="28"/>
          <w:highlight w:val="none"/>
        </w:rPr>
      </w:pPr>
      <w:r>
        <w:rPr>
          <w:rFonts w:ascii="Times New Roman" w:hAnsi="Times New Roman" w:cs="Times New Roman"/>
          <w:b/>
          <w:bCs/>
          <w:color w:val="auto"/>
          <w:sz w:val="28"/>
          <w:szCs w:val="28"/>
          <w:highlight w:val="none"/>
        </w:rPr>
        <w:t>1</w:t>
      </w:r>
      <w:r>
        <w:rPr>
          <w:rFonts w:hint="eastAsia" w:ascii="Times New Roman" w:hAnsi="Times New Roman" w:cs="Times New Roman"/>
          <w:b/>
          <w:bCs/>
          <w:color w:val="auto"/>
          <w:sz w:val="28"/>
          <w:szCs w:val="28"/>
          <w:highlight w:val="none"/>
        </w:rPr>
        <w:t>、</w:t>
      </w:r>
      <w:r>
        <w:rPr>
          <w:rFonts w:ascii="Times New Roman" w:hAnsi="Times New Roman" w:cs="Times New Roman"/>
          <w:b/>
          <w:bCs/>
          <w:color w:val="auto"/>
          <w:sz w:val="28"/>
          <w:szCs w:val="28"/>
          <w:highlight w:val="none"/>
        </w:rPr>
        <w:t>符合</w:t>
      </w:r>
      <w:r>
        <w:rPr>
          <w:rFonts w:hint="eastAsia" w:ascii="Times New Roman" w:hAnsi="Times New Roman" w:cs="Times New Roman"/>
          <w:b/>
          <w:bCs/>
          <w:color w:val="auto"/>
          <w:sz w:val="28"/>
          <w:szCs w:val="28"/>
          <w:highlight w:val="none"/>
          <w:lang w:val="en-US" w:eastAsia="zh-CN"/>
        </w:rPr>
        <w:t>抚顺高新技术产业开发区国土空间规划</w:t>
      </w:r>
      <w:r>
        <w:rPr>
          <w:rFonts w:ascii="Times New Roman" w:hAnsi="Times New Roman" w:cs="Times New Roman"/>
          <w:b/>
          <w:bCs/>
          <w:color w:val="auto"/>
          <w:sz w:val="28"/>
          <w:szCs w:val="28"/>
          <w:highlight w:val="none"/>
        </w:rPr>
        <w:t>原则</w:t>
      </w:r>
    </w:p>
    <w:p>
      <w:pPr>
        <w:spacing w:line="360" w:lineRule="auto"/>
        <w:ind w:firstLine="560" w:firstLineChars="200"/>
        <w:rPr>
          <w:rFonts w:hint="default" w:ascii="Times New Roman" w:hAnsi="Times New Roman" w:cs="Times New Roman"/>
          <w:color w:val="auto"/>
          <w:sz w:val="28"/>
          <w:szCs w:val="28"/>
          <w:highlight w:val="none"/>
          <w:lang w:val="en-US" w:eastAsia="zh-CN"/>
        </w:rPr>
      </w:pPr>
      <w:bookmarkStart w:id="12" w:name="_Hlk98743174"/>
      <w:r>
        <w:rPr>
          <w:rFonts w:hint="eastAsia" w:ascii="Times New Roman" w:hAnsi="Times New Roman" w:cs="Times New Roman"/>
          <w:color w:val="auto"/>
          <w:sz w:val="28"/>
          <w:szCs w:val="28"/>
          <w:highlight w:val="none"/>
          <w:lang w:eastAsia="zh-CN"/>
        </w:rPr>
        <w:t>抚顺高新技术产业开发区国土空间规划</w:t>
      </w:r>
      <w:r>
        <w:rPr>
          <w:rFonts w:hint="eastAsia" w:ascii="Times New Roman" w:hAnsi="Times New Roman" w:cs="Times New Roman"/>
          <w:color w:val="auto"/>
          <w:sz w:val="28"/>
          <w:szCs w:val="28"/>
          <w:highlight w:val="none"/>
          <w:lang w:val="en-US" w:eastAsia="zh-CN"/>
        </w:rPr>
        <w:t>中确定战略定位为：全国新型石化产业转型引领区、东北资源型城市转型标杆区、辽宁省先进制造业发展示范区和抚顺市高质量发展先行区。</w:t>
      </w:r>
    </w:p>
    <w:bookmarkEnd w:id="11"/>
    <w:bookmarkEnd w:id="12"/>
    <w:p>
      <w:pPr>
        <w:spacing w:line="360" w:lineRule="auto"/>
        <w:ind w:firstLine="562" w:firstLineChars="200"/>
        <w:rPr>
          <w:rFonts w:ascii="Times New Roman" w:hAnsi="Times New Roman" w:cs="Times New Roman"/>
          <w:b/>
          <w:bCs/>
          <w:color w:val="auto"/>
          <w:sz w:val="28"/>
          <w:szCs w:val="28"/>
          <w:highlight w:val="none"/>
        </w:rPr>
      </w:pPr>
      <w:r>
        <w:rPr>
          <w:rFonts w:ascii="Times New Roman" w:hAnsi="Times New Roman" w:cs="Times New Roman"/>
          <w:b/>
          <w:bCs/>
          <w:color w:val="auto"/>
          <w:sz w:val="28"/>
          <w:szCs w:val="28"/>
          <w:highlight w:val="none"/>
        </w:rPr>
        <w:t>2</w:t>
      </w:r>
      <w:r>
        <w:rPr>
          <w:rFonts w:hint="eastAsia" w:ascii="Times New Roman" w:hAnsi="Times New Roman" w:cs="Times New Roman"/>
          <w:b/>
          <w:bCs/>
          <w:color w:val="auto"/>
          <w:sz w:val="28"/>
          <w:szCs w:val="28"/>
          <w:highlight w:val="none"/>
        </w:rPr>
        <w:t>、</w:t>
      </w:r>
      <w:r>
        <w:rPr>
          <w:rFonts w:ascii="Times New Roman" w:hAnsi="Times New Roman" w:cs="Times New Roman"/>
          <w:b/>
          <w:bCs/>
          <w:color w:val="auto"/>
          <w:sz w:val="28"/>
          <w:szCs w:val="28"/>
          <w:highlight w:val="none"/>
        </w:rPr>
        <w:t>与上位规划和其他规划协同原则</w:t>
      </w:r>
    </w:p>
    <w:p>
      <w:pPr>
        <w:spacing w:line="360" w:lineRule="auto"/>
        <w:ind w:firstLine="560" w:firstLineChars="200"/>
        <w:rPr>
          <w:rFonts w:ascii="Times New Roman" w:hAnsi="Times New Roman" w:cs="Times New Roman"/>
          <w:color w:val="auto"/>
          <w:sz w:val="28"/>
          <w:szCs w:val="28"/>
          <w:highlight w:val="none"/>
        </w:rPr>
      </w:pPr>
      <w:bookmarkStart w:id="13" w:name="_Hlk99526046"/>
      <w:r>
        <w:rPr>
          <w:rFonts w:ascii="Times New Roman" w:hAnsi="Times New Roman" w:cs="Times New Roman"/>
          <w:color w:val="auto"/>
          <w:sz w:val="28"/>
          <w:szCs w:val="28"/>
          <w:highlight w:val="none"/>
          <w:lang w:bidi="th-TH"/>
        </w:rPr>
        <w:t>燃气专项规划应充分衔接国土空间总体规划、国民经济和社会发展规划、能源规划、城市供热规划等相关规划，准确预测并满足城市用气需求，结合燃气设施现状及发展需求，分步实施，有序推进燃气设施建设，建立一个适度超前的燃气供应体系。</w:t>
      </w:r>
    </w:p>
    <w:bookmarkEnd w:id="13"/>
    <w:p>
      <w:pPr>
        <w:spacing w:line="360" w:lineRule="auto"/>
        <w:ind w:firstLine="562" w:firstLineChars="200"/>
        <w:rPr>
          <w:rFonts w:ascii="Times New Roman" w:hAnsi="Times New Roman" w:cs="Times New Roman"/>
          <w:b/>
          <w:bCs/>
          <w:color w:val="auto"/>
          <w:sz w:val="28"/>
          <w:szCs w:val="28"/>
          <w:highlight w:val="none"/>
        </w:rPr>
      </w:pPr>
      <w:r>
        <w:rPr>
          <w:rFonts w:ascii="Times New Roman" w:hAnsi="Times New Roman" w:cs="Times New Roman"/>
          <w:b/>
          <w:bCs/>
          <w:color w:val="auto"/>
          <w:sz w:val="28"/>
          <w:szCs w:val="28"/>
          <w:highlight w:val="none"/>
        </w:rPr>
        <w:t>3</w:t>
      </w:r>
      <w:r>
        <w:rPr>
          <w:rFonts w:hint="eastAsia" w:ascii="Times New Roman" w:hAnsi="Times New Roman" w:cs="Times New Roman"/>
          <w:b/>
          <w:bCs/>
          <w:color w:val="auto"/>
          <w:sz w:val="28"/>
          <w:szCs w:val="28"/>
          <w:highlight w:val="none"/>
        </w:rPr>
        <w:t>、</w:t>
      </w:r>
      <w:r>
        <w:rPr>
          <w:rFonts w:ascii="Times New Roman" w:hAnsi="Times New Roman" w:cs="Times New Roman"/>
          <w:b/>
          <w:bCs/>
          <w:color w:val="auto"/>
          <w:sz w:val="28"/>
          <w:szCs w:val="28"/>
          <w:highlight w:val="none"/>
        </w:rPr>
        <w:t>指导工程建设的原则</w:t>
      </w:r>
    </w:p>
    <w:p>
      <w:pPr>
        <w:spacing w:line="360" w:lineRule="auto"/>
        <w:ind w:firstLine="560" w:firstLineChars="200"/>
        <w:rPr>
          <w:rFonts w:ascii="Times New Roman" w:hAnsi="Times New Roman" w:cs="Times New Roman"/>
          <w:color w:val="auto"/>
          <w:sz w:val="28"/>
          <w:szCs w:val="28"/>
          <w:highlight w:val="none"/>
        </w:rPr>
      </w:pPr>
      <w:bookmarkStart w:id="14" w:name="_Hlk98743253"/>
      <w:r>
        <w:rPr>
          <w:rFonts w:ascii="Times New Roman" w:hAnsi="Times New Roman" w:cs="Times New Roman"/>
          <w:color w:val="auto"/>
          <w:sz w:val="28"/>
          <w:szCs w:val="28"/>
          <w:highlight w:val="none"/>
        </w:rPr>
        <w:t>从燃气需求的全局出发，强调城市燃气的特殊性和统一管理的重要性；统一考虑天然气的接收、运营管理与服务，合理规划气源、输配管道、应急储备能力和智慧燃气的规划，全面提高天然气输配系统的自动化管理水平，作为指导</w:t>
      </w:r>
      <w:r>
        <w:rPr>
          <w:rFonts w:hint="eastAsia" w:ascii="Times New Roman" w:hAnsi="Times New Roman" w:cs="Times New Roman"/>
          <w:color w:val="auto"/>
          <w:sz w:val="28"/>
          <w:szCs w:val="28"/>
          <w:highlight w:val="none"/>
          <w:lang w:eastAsia="zh-CN"/>
        </w:rPr>
        <w:t>抚顺高新技术产业开发区</w:t>
      </w:r>
      <w:r>
        <w:rPr>
          <w:rFonts w:ascii="Times New Roman" w:hAnsi="Times New Roman" w:cs="Times New Roman"/>
          <w:color w:val="auto"/>
          <w:sz w:val="28"/>
          <w:szCs w:val="28"/>
          <w:highlight w:val="none"/>
        </w:rPr>
        <w:t>管道燃气企业工程建设和政府审批的指导性文件。</w:t>
      </w:r>
    </w:p>
    <w:bookmarkEnd w:id="14"/>
    <w:p>
      <w:pPr>
        <w:spacing w:line="360" w:lineRule="auto"/>
        <w:ind w:firstLine="562" w:firstLineChars="200"/>
        <w:rPr>
          <w:rFonts w:ascii="Times New Roman" w:hAnsi="Times New Roman" w:cs="Times New Roman"/>
          <w:b/>
          <w:bCs/>
          <w:color w:val="auto"/>
          <w:sz w:val="28"/>
          <w:szCs w:val="28"/>
          <w:highlight w:val="none"/>
        </w:rPr>
      </w:pPr>
      <w:r>
        <w:rPr>
          <w:rFonts w:ascii="Times New Roman" w:hAnsi="Times New Roman" w:cs="Times New Roman"/>
          <w:b/>
          <w:bCs/>
          <w:color w:val="auto"/>
          <w:sz w:val="28"/>
          <w:szCs w:val="28"/>
          <w:highlight w:val="none"/>
        </w:rPr>
        <w:t>4</w:t>
      </w:r>
      <w:r>
        <w:rPr>
          <w:rFonts w:hint="eastAsia" w:ascii="Times New Roman" w:hAnsi="Times New Roman" w:cs="Times New Roman"/>
          <w:b/>
          <w:bCs/>
          <w:color w:val="auto"/>
          <w:sz w:val="28"/>
          <w:szCs w:val="28"/>
          <w:highlight w:val="none"/>
        </w:rPr>
        <w:t>、</w:t>
      </w:r>
      <w:r>
        <w:rPr>
          <w:rFonts w:ascii="Times New Roman" w:hAnsi="Times New Roman" w:cs="Times New Roman"/>
          <w:b/>
          <w:bCs/>
          <w:color w:val="auto"/>
          <w:sz w:val="28"/>
          <w:szCs w:val="28"/>
          <w:highlight w:val="none"/>
        </w:rPr>
        <w:t>政府引导、市场主导的原则</w:t>
      </w:r>
    </w:p>
    <w:p>
      <w:pPr>
        <w:ind w:firstLine="560" w:firstLineChars="200"/>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lang w:bidi="th-TH"/>
        </w:rPr>
        <w:t>实现碳达峰、碳中和，是以习近平同志为核心的党中央统筹国内国际两个大局作出的重大战略决策，是着力解决资源环境约束突出问题、实现中华民族永续发展的必然选择，是构建人类命运共同体的庄严承诺。为深入贯彻落实党中央、国务院关于碳达峰、碳中和的重大战略决策，扎实推进2030年前碳达峰，2060年前碳中和的目标，应充分发挥政府的引领作用，加快构建清洁低碳安全高效能源体系，大幅度提升能源利用效率，明确天然气发展目标、重点利用领域；发挥政府在能源基础设施建设中的关键作用，加快推动天然气管网、天然气设施规划和建设进度，提高天然气消费在一次能源领域的占比。着力破解影响天然气产业健康发展的机制障碍，完善市场营商环境，推进天然气领域市场化改革，发挥市场在天然气资源配置中的决定性作用</w:t>
      </w:r>
      <w:r>
        <w:rPr>
          <w:rFonts w:ascii="Times New Roman" w:hAnsi="Times New Roman" w:cs="Times New Roman"/>
          <w:color w:val="auto"/>
          <w:sz w:val="28"/>
          <w:szCs w:val="28"/>
          <w:highlight w:val="none"/>
          <w:lang w:bidi="th-TH"/>
        </w:rPr>
        <w:t>。</w:t>
      </w:r>
    </w:p>
    <w:p>
      <w:pPr>
        <w:pStyle w:val="3"/>
        <w:rPr>
          <w:color w:val="auto"/>
          <w:highlight w:val="none"/>
        </w:rPr>
      </w:pPr>
      <w:bookmarkStart w:id="15" w:name="_Toc18729"/>
      <w:r>
        <w:rPr>
          <w:color w:val="auto"/>
          <w:highlight w:val="none"/>
        </w:rPr>
        <w:t>第</w:t>
      </w:r>
      <w:r>
        <w:rPr>
          <w:rFonts w:hint="eastAsia"/>
          <w:color w:val="auto"/>
          <w:highlight w:val="none"/>
          <w:lang w:val="en-US" w:eastAsia="zh-CN"/>
        </w:rPr>
        <w:t>五</w:t>
      </w:r>
      <w:r>
        <w:rPr>
          <w:color w:val="auto"/>
          <w:highlight w:val="none"/>
        </w:rPr>
        <w:t>条：规划依据</w:t>
      </w:r>
      <w:bookmarkEnd w:id="9"/>
      <w:bookmarkEnd w:id="15"/>
    </w:p>
    <w:p>
      <w:pPr>
        <w:spacing w:line="360" w:lineRule="auto"/>
        <w:ind w:firstLine="562" w:firstLineChars="200"/>
        <w:jc w:val="left"/>
        <w:rPr>
          <w:rFonts w:hint="default" w:ascii="Times New Roman" w:hAnsi="Times New Roman" w:cs="Times New Roman" w:eastAsiaTheme="minorEastAsia"/>
          <w:b/>
          <w:bCs/>
          <w:color w:val="auto"/>
          <w:sz w:val="28"/>
          <w:szCs w:val="28"/>
          <w:highlight w:val="none"/>
          <w:lang w:val="en-US" w:eastAsia="zh-CN" w:bidi="th-TH"/>
        </w:rPr>
      </w:pPr>
      <w:bookmarkStart w:id="16" w:name="_Hlk99097409"/>
      <w:r>
        <w:rPr>
          <w:rFonts w:hint="eastAsia" w:ascii="Times New Roman" w:hAnsi="Times New Roman" w:cs="Times New Roman"/>
          <w:b/>
          <w:bCs/>
          <w:color w:val="auto"/>
          <w:sz w:val="28"/>
          <w:szCs w:val="28"/>
          <w:highlight w:val="none"/>
          <w:lang w:val="en-US" w:eastAsia="zh-CN" w:bidi="th-TH"/>
        </w:rPr>
        <w:t>1、法律、法规</w:t>
      </w:r>
    </w:p>
    <w:p>
      <w:pPr>
        <w:spacing w:line="360" w:lineRule="auto"/>
        <w:ind w:firstLine="560" w:firstLineChars="200"/>
        <w:jc w:val="left"/>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（1）《中华人民共和国城乡规划法》</w:t>
      </w:r>
      <w:r>
        <w:rPr>
          <w:rFonts w:hint="eastAsia" w:ascii="Times New Roman" w:hAnsi="Times New Roman" w:cs="Times New Roman"/>
          <w:color w:val="auto"/>
          <w:sz w:val="28"/>
          <w:szCs w:val="28"/>
          <w:highlight w:val="none"/>
          <w:lang w:eastAsia="zh-CN" w:bidi="th-TH"/>
        </w:rPr>
        <w:t>（</w:t>
      </w:r>
      <w:r>
        <w:rPr>
          <w:rFonts w:ascii="Times New Roman" w:hAnsi="Times New Roman" w:cs="Times New Roman"/>
          <w:color w:val="auto"/>
          <w:sz w:val="28"/>
          <w:szCs w:val="28"/>
          <w:highlight w:val="none"/>
          <w:lang w:bidi="th-TH"/>
        </w:rPr>
        <w:t>2019年5月28日起施行）</w:t>
      </w:r>
    </w:p>
    <w:p>
      <w:pPr>
        <w:spacing w:line="360" w:lineRule="auto"/>
        <w:ind w:firstLine="560" w:firstLineChars="200"/>
        <w:jc w:val="left"/>
        <w:rPr>
          <w:rFonts w:hint="eastAsia" w:ascii="Times New Roman" w:hAnsi="Times New Roman" w:cs="Times New Roman" w:eastAsiaTheme="minorEastAsia"/>
          <w:color w:val="auto"/>
          <w:sz w:val="28"/>
          <w:szCs w:val="28"/>
          <w:highlight w:val="none"/>
          <w:lang w:eastAsia="zh-CN" w:bidi="th-TH"/>
        </w:rPr>
      </w:pP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2</w:t>
      </w:r>
      <w:r>
        <w:rPr>
          <w:rFonts w:hint="eastAsia" w:ascii="Times New Roman" w:hAnsi="Times New Roman" w:cs="Times New Roman"/>
          <w:color w:val="auto"/>
          <w:sz w:val="28"/>
          <w:szCs w:val="28"/>
          <w:highlight w:val="none"/>
          <w:lang w:eastAsia="zh-CN" w:bidi="th-TH"/>
        </w:rPr>
        <w:t>）</w:t>
      </w:r>
      <w:r>
        <w:rPr>
          <w:rFonts w:ascii="Times New Roman" w:hAnsi="Times New Roman" w:cs="Times New Roman"/>
          <w:color w:val="auto"/>
          <w:sz w:val="28"/>
          <w:szCs w:val="28"/>
          <w:highlight w:val="none"/>
          <w:lang w:bidi="th-TH"/>
        </w:rPr>
        <w:t>《中华人民共和国</w:t>
      </w:r>
      <w:r>
        <w:rPr>
          <w:rFonts w:hint="eastAsia" w:ascii="Times New Roman" w:hAnsi="Times New Roman" w:cs="Times New Roman"/>
          <w:color w:val="auto"/>
          <w:sz w:val="28"/>
          <w:szCs w:val="28"/>
          <w:highlight w:val="none"/>
          <w:lang w:val="en-US" w:eastAsia="zh-CN" w:bidi="th-TH"/>
        </w:rPr>
        <w:t>土地管理法</w:t>
      </w:r>
      <w:r>
        <w:rPr>
          <w:rFonts w:ascii="Times New Roman" w:hAnsi="Times New Roman" w:cs="Times New Roman"/>
          <w:color w:val="auto"/>
          <w:sz w:val="28"/>
          <w:szCs w:val="28"/>
          <w:highlight w:val="none"/>
          <w:lang w:bidi="th-TH"/>
        </w:rPr>
        <w:t>》</w:t>
      </w:r>
      <w:r>
        <w:rPr>
          <w:rFonts w:hint="eastAsia" w:ascii="Times New Roman" w:hAnsi="Times New Roman" w:cs="Times New Roman"/>
          <w:color w:val="auto"/>
          <w:sz w:val="28"/>
          <w:szCs w:val="28"/>
          <w:highlight w:val="none"/>
          <w:lang w:eastAsia="zh-CN" w:bidi="th-TH"/>
        </w:rPr>
        <w:t>（</w:t>
      </w:r>
      <w:r>
        <w:rPr>
          <w:rFonts w:ascii="Times New Roman" w:hAnsi="Times New Roman" w:cs="Times New Roman"/>
          <w:color w:val="auto"/>
          <w:sz w:val="28"/>
          <w:szCs w:val="28"/>
          <w:highlight w:val="none"/>
          <w:lang w:bidi="th-TH"/>
        </w:rPr>
        <w:t>20</w:t>
      </w:r>
      <w:r>
        <w:rPr>
          <w:rFonts w:hint="eastAsia" w:ascii="Times New Roman" w:hAnsi="Times New Roman" w:cs="Times New Roman"/>
          <w:color w:val="auto"/>
          <w:sz w:val="28"/>
          <w:szCs w:val="28"/>
          <w:highlight w:val="none"/>
          <w:lang w:val="en-US" w:eastAsia="zh-CN" w:bidi="th-TH"/>
        </w:rPr>
        <w:t>20年1月1日起施行</w:t>
      </w:r>
      <w:r>
        <w:rPr>
          <w:rFonts w:hint="eastAsia" w:ascii="Times New Roman" w:hAnsi="Times New Roman" w:cs="Times New Roman"/>
          <w:color w:val="auto"/>
          <w:sz w:val="28"/>
          <w:szCs w:val="28"/>
          <w:highlight w:val="none"/>
          <w:lang w:eastAsia="zh-CN" w:bidi="th-TH"/>
        </w:rPr>
        <w:t>）</w:t>
      </w:r>
    </w:p>
    <w:p>
      <w:pPr>
        <w:spacing w:line="360" w:lineRule="auto"/>
        <w:ind w:firstLine="560" w:firstLineChars="200"/>
        <w:jc w:val="left"/>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w:t>
      </w:r>
      <w:r>
        <w:rPr>
          <w:rFonts w:hint="eastAsia" w:ascii="Times New Roman" w:hAnsi="Times New Roman" w:cs="Times New Roman"/>
          <w:color w:val="auto"/>
          <w:sz w:val="28"/>
          <w:szCs w:val="28"/>
          <w:highlight w:val="none"/>
          <w:lang w:val="en-US" w:eastAsia="zh-CN" w:bidi="th-TH"/>
        </w:rPr>
        <w:t>3</w:t>
      </w:r>
      <w:r>
        <w:rPr>
          <w:rFonts w:ascii="Times New Roman" w:hAnsi="Times New Roman" w:cs="Times New Roman"/>
          <w:color w:val="auto"/>
          <w:sz w:val="28"/>
          <w:szCs w:val="28"/>
          <w:highlight w:val="none"/>
          <w:lang w:bidi="th-TH"/>
        </w:rPr>
        <w:t>）《中华人民共和国安全生产法》（2021年9月1日起施行）</w:t>
      </w:r>
    </w:p>
    <w:p>
      <w:pPr>
        <w:spacing w:line="360" w:lineRule="auto"/>
        <w:ind w:firstLine="560" w:firstLineChars="200"/>
        <w:jc w:val="left"/>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w:t>
      </w:r>
      <w:r>
        <w:rPr>
          <w:rFonts w:hint="eastAsia" w:ascii="Times New Roman" w:hAnsi="Times New Roman" w:cs="Times New Roman"/>
          <w:color w:val="auto"/>
          <w:sz w:val="28"/>
          <w:szCs w:val="28"/>
          <w:highlight w:val="none"/>
          <w:lang w:val="en-US" w:eastAsia="zh-CN" w:bidi="th-TH"/>
        </w:rPr>
        <w:t>4</w:t>
      </w:r>
      <w:r>
        <w:rPr>
          <w:rFonts w:ascii="Times New Roman" w:hAnsi="Times New Roman" w:cs="Times New Roman"/>
          <w:color w:val="auto"/>
          <w:sz w:val="28"/>
          <w:szCs w:val="28"/>
          <w:highlight w:val="none"/>
          <w:lang w:bidi="th-TH"/>
        </w:rPr>
        <w:t>）《中华人民共和国消防法》（2021年4月29日起施行）</w:t>
      </w:r>
    </w:p>
    <w:p>
      <w:pPr>
        <w:spacing w:line="360" w:lineRule="auto"/>
        <w:ind w:firstLine="560" w:firstLineChars="200"/>
        <w:jc w:val="left"/>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w:t>
      </w:r>
      <w:r>
        <w:rPr>
          <w:rFonts w:hint="eastAsia" w:ascii="Times New Roman" w:hAnsi="Times New Roman" w:cs="Times New Roman"/>
          <w:color w:val="auto"/>
          <w:sz w:val="28"/>
          <w:szCs w:val="28"/>
          <w:highlight w:val="none"/>
          <w:lang w:val="en-US" w:eastAsia="zh-CN" w:bidi="th-TH"/>
        </w:rPr>
        <w:t>5</w:t>
      </w:r>
      <w:r>
        <w:rPr>
          <w:rFonts w:ascii="Times New Roman" w:hAnsi="Times New Roman" w:cs="Times New Roman"/>
          <w:color w:val="auto"/>
          <w:sz w:val="28"/>
          <w:szCs w:val="28"/>
          <w:highlight w:val="none"/>
          <w:lang w:bidi="th-TH"/>
        </w:rPr>
        <w:t>）《中华人民共和国环境保护法》（2015年1月1日起施行）</w:t>
      </w:r>
    </w:p>
    <w:p>
      <w:pPr>
        <w:spacing w:line="360" w:lineRule="auto"/>
        <w:ind w:firstLine="560" w:firstLineChars="200"/>
        <w:jc w:val="left"/>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w:t>
      </w:r>
      <w:r>
        <w:rPr>
          <w:rFonts w:hint="eastAsia" w:ascii="Times New Roman" w:hAnsi="Times New Roman" w:cs="Times New Roman"/>
          <w:color w:val="auto"/>
          <w:sz w:val="28"/>
          <w:szCs w:val="28"/>
          <w:highlight w:val="none"/>
          <w:lang w:val="en-US" w:eastAsia="zh-CN" w:bidi="th-TH"/>
        </w:rPr>
        <w:t>6</w:t>
      </w:r>
      <w:r>
        <w:rPr>
          <w:rFonts w:ascii="Times New Roman" w:hAnsi="Times New Roman" w:cs="Times New Roman"/>
          <w:color w:val="auto"/>
          <w:sz w:val="28"/>
          <w:szCs w:val="28"/>
          <w:highlight w:val="none"/>
          <w:lang w:bidi="th-TH"/>
        </w:rPr>
        <w:t>）《中华人民共和国水土保持法》（2011年3月1日起施行）</w:t>
      </w:r>
    </w:p>
    <w:p>
      <w:pPr>
        <w:spacing w:line="360" w:lineRule="auto"/>
        <w:ind w:firstLine="560" w:firstLineChars="200"/>
        <w:jc w:val="left"/>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w:t>
      </w:r>
      <w:r>
        <w:rPr>
          <w:rFonts w:hint="eastAsia" w:ascii="Times New Roman" w:hAnsi="Times New Roman" w:cs="Times New Roman"/>
          <w:color w:val="auto"/>
          <w:sz w:val="28"/>
          <w:szCs w:val="28"/>
          <w:highlight w:val="none"/>
          <w:lang w:val="en-US" w:eastAsia="zh-CN" w:bidi="th-TH"/>
        </w:rPr>
        <w:t>7</w:t>
      </w:r>
      <w:r>
        <w:rPr>
          <w:rFonts w:ascii="Times New Roman" w:hAnsi="Times New Roman" w:cs="Times New Roman"/>
          <w:color w:val="auto"/>
          <w:sz w:val="28"/>
          <w:szCs w:val="28"/>
          <w:highlight w:val="none"/>
          <w:lang w:bidi="th-TH"/>
        </w:rPr>
        <w:t>）《中华人民共和国特种设备安全法》（2014年1月1日起施行）</w:t>
      </w:r>
    </w:p>
    <w:p>
      <w:pPr>
        <w:spacing w:line="360" w:lineRule="auto"/>
        <w:ind w:firstLine="560" w:firstLineChars="200"/>
        <w:jc w:val="left"/>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w:t>
      </w:r>
      <w:r>
        <w:rPr>
          <w:rFonts w:hint="eastAsia" w:ascii="Times New Roman" w:hAnsi="Times New Roman" w:cs="Times New Roman"/>
          <w:color w:val="auto"/>
          <w:sz w:val="28"/>
          <w:szCs w:val="28"/>
          <w:highlight w:val="none"/>
          <w:lang w:val="en-US" w:eastAsia="zh-CN" w:bidi="th-TH"/>
        </w:rPr>
        <w:t>8</w:t>
      </w:r>
      <w:r>
        <w:rPr>
          <w:rFonts w:ascii="Times New Roman" w:hAnsi="Times New Roman" w:cs="Times New Roman"/>
          <w:color w:val="auto"/>
          <w:sz w:val="28"/>
          <w:szCs w:val="28"/>
          <w:highlight w:val="none"/>
          <w:lang w:bidi="th-TH"/>
        </w:rPr>
        <w:t>）《中华人民共和国环境噪声污染防治法》（2018年12月29日起施行）</w:t>
      </w:r>
    </w:p>
    <w:p>
      <w:pPr>
        <w:spacing w:line="360" w:lineRule="auto"/>
        <w:ind w:firstLine="560" w:firstLineChars="200"/>
        <w:jc w:val="left"/>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w:t>
      </w:r>
      <w:r>
        <w:rPr>
          <w:rFonts w:hint="eastAsia" w:ascii="Times New Roman" w:hAnsi="Times New Roman" w:cs="Times New Roman"/>
          <w:color w:val="auto"/>
          <w:sz w:val="28"/>
          <w:szCs w:val="28"/>
          <w:highlight w:val="none"/>
          <w:lang w:val="en-US" w:eastAsia="zh-CN" w:bidi="th-TH"/>
        </w:rPr>
        <w:t>9</w:t>
      </w:r>
      <w:r>
        <w:rPr>
          <w:rFonts w:ascii="Times New Roman" w:hAnsi="Times New Roman" w:cs="Times New Roman"/>
          <w:color w:val="auto"/>
          <w:sz w:val="28"/>
          <w:szCs w:val="28"/>
          <w:highlight w:val="none"/>
          <w:lang w:bidi="th-TH"/>
        </w:rPr>
        <w:t>）《中华人民共和国环境影响评价法》（2018年12月29日起施行）</w:t>
      </w:r>
    </w:p>
    <w:p>
      <w:pPr>
        <w:spacing w:line="360" w:lineRule="auto"/>
        <w:ind w:firstLine="560" w:firstLineChars="200"/>
        <w:jc w:val="left"/>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w:t>
      </w:r>
      <w:r>
        <w:rPr>
          <w:rFonts w:hint="eastAsia" w:ascii="Times New Roman" w:hAnsi="Times New Roman" w:cs="Times New Roman"/>
          <w:color w:val="auto"/>
          <w:sz w:val="28"/>
          <w:szCs w:val="28"/>
          <w:highlight w:val="none"/>
          <w:lang w:val="en-US" w:eastAsia="zh-CN" w:bidi="th-TH"/>
        </w:rPr>
        <w:t>10</w:t>
      </w:r>
      <w:r>
        <w:rPr>
          <w:rFonts w:ascii="Times New Roman" w:hAnsi="Times New Roman" w:cs="Times New Roman"/>
          <w:color w:val="auto"/>
          <w:sz w:val="28"/>
          <w:szCs w:val="28"/>
          <w:highlight w:val="none"/>
          <w:lang w:bidi="th-TH"/>
        </w:rPr>
        <w:t>）《中华人民共和国大气污染防治法》（2018年10月26日起施行）</w:t>
      </w:r>
    </w:p>
    <w:p>
      <w:pPr>
        <w:spacing w:line="360" w:lineRule="auto"/>
        <w:ind w:firstLine="560" w:firstLineChars="200"/>
        <w:jc w:val="left"/>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（1</w:t>
      </w:r>
      <w:r>
        <w:rPr>
          <w:rFonts w:hint="eastAsia" w:ascii="Times New Roman" w:hAnsi="Times New Roman" w:cs="Times New Roman"/>
          <w:color w:val="auto"/>
          <w:sz w:val="28"/>
          <w:szCs w:val="28"/>
          <w:highlight w:val="none"/>
          <w:lang w:val="en-US" w:eastAsia="zh-CN" w:bidi="th-TH"/>
        </w:rPr>
        <w:t>1</w:t>
      </w:r>
      <w:r>
        <w:rPr>
          <w:rFonts w:ascii="Times New Roman" w:hAnsi="Times New Roman" w:cs="Times New Roman"/>
          <w:color w:val="auto"/>
          <w:sz w:val="28"/>
          <w:szCs w:val="28"/>
          <w:highlight w:val="none"/>
          <w:lang w:bidi="th-TH"/>
        </w:rPr>
        <w:t>）《城镇燃气管理条例》（国务院令第583号）</w:t>
      </w:r>
    </w:p>
    <w:p>
      <w:pPr>
        <w:spacing w:line="360" w:lineRule="auto"/>
        <w:ind w:firstLine="560" w:firstLineChars="200"/>
        <w:jc w:val="left"/>
        <w:rPr>
          <w:rFonts w:hint="eastAsia"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bidi="th-TH"/>
        </w:rPr>
        <w:t>（1</w:t>
      </w:r>
      <w:r>
        <w:rPr>
          <w:rFonts w:hint="eastAsia" w:ascii="Times New Roman" w:hAnsi="Times New Roman" w:cs="Times New Roman"/>
          <w:color w:val="auto"/>
          <w:sz w:val="28"/>
          <w:szCs w:val="28"/>
          <w:highlight w:val="none"/>
          <w:lang w:val="en-US" w:eastAsia="zh-CN" w:bidi="th-TH"/>
        </w:rPr>
        <w:t>2</w:t>
      </w:r>
      <w:r>
        <w:rPr>
          <w:rFonts w:hint="eastAsia" w:ascii="Times New Roman" w:hAnsi="Times New Roman" w:cs="Times New Roman"/>
          <w:color w:val="auto"/>
          <w:sz w:val="28"/>
          <w:szCs w:val="28"/>
          <w:highlight w:val="none"/>
          <w:lang w:bidi="th-TH"/>
        </w:rPr>
        <w:t>）《辽宁省城镇燃气管理条例》（辽宁省人民代表大会常务委员会公告﹝十三届﹞第六十六号）</w:t>
      </w:r>
    </w:p>
    <w:p>
      <w:pPr>
        <w:spacing w:line="360" w:lineRule="auto"/>
        <w:ind w:firstLine="560" w:firstLineChars="200"/>
        <w:jc w:val="left"/>
        <w:rPr>
          <w:rFonts w:hint="eastAsia" w:ascii="Times New Roman" w:hAnsi="Times New Roman" w:cs="Times New Roman"/>
          <w:color w:val="auto"/>
          <w:sz w:val="28"/>
          <w:szCs w:val="28"/>
          <w:highlight w:val="none"/>
          <w:lang w:bidi="th-TH"/>
        </w:rPr>
      </w:pPr>
      <w:r>
        <w:rPr>
          <w:rFonts w:hint="eastAsia" w:ascii="Times New Roman" w:hAnsi="Times New Roman" w:cs="Times New Roman"/>
          <w:color w:val="0000FF"/>
          <w:sz w:val="28"/>
          <w:szCs w:val="28"/>
          <w:highlight w:val="none"/>
          <w:lang w:eastAsia="zh-CN" w:bidi="th-TH"/>
        </w:rPr>
        <w:t>（</w:t>
      </w:r>
      <w:r>
        <w:rPr>
          <w:rFonts w:hint="eastAsia" w:ascii="Times New Roman" w:hAnsi="Times New Roman" w:cs="Times New Roman"/>
          <w:color w:val="0000FF"/>
          <w:sz w:val="28"/>
          <w:szCs w:val="28"/>
          <w:highlight w:val="none"/>
          <w:lang w:val="en-US" w:eastAsia="zh-CN" w:bidi="th-TH"/>
        </w:rPr>
        <w:t>13</w:t>
      </w:r>
      <w:r>
        <w:rPr>
          <w:rFonts w:hint="eastAsia" w:ascii="Times New Roman" w:hAnsi="Times New Roman" w:cs="Times New Roman"/>
          <w:color w:val="0000FF"/>
          <w:sz w:val="28"/>
          <w:szCs w:val="28"/>
          <w:highlight w:val="none"/>
          <w:lang w:eastAsia="zh-CN" w:bidi="th-TH"/>
        </w:rPr>
        <w:t>）《</w:t>
      </w:r>
      <w:r>
        <w:rPr>
          <w:rFonts w:hint="eastAsia" w:ascii="Times New Roman" w:hAnsi="Times New Roman" w:cs="Times New Roman"/>
          <w:color w:val="0000FF"/>
          <w:sz w:val="28"/>
          <w:szCs w:val="28"/>
          <w:highlight w:val="none"/>
          <w:lang w:val="en-US" w:eastAsia="zh-CN" w:bidi="th-TH"/>
        </w:rPr>
        <w:t>抚顺市城乡规划管理条例</w:t>
      </w:r>
      <w:r>
        <w:rPr>
          <w:rFonts w:hint="eastAsia" w:ascii="Times New Roman" w:hAnsi="Times New Roman" w:cs="Times New Roman"/>
          <w:color w:val="0000FF"/>
          <w:sz w:val="28"/>
          <w:szCs w:val="28"/>
          <w:highlight w:val="none"/>
          <w:lang w:eastAsia="zh-CN" w:bidi="th-TH"/>
        </w:rPr>
        <w:t>》（2012年11月29日辽宁省第十一届人民代表大会常务委员会第三十三次会议批准）</w:t>
      </w:r>
    </w:p>
    <w:p>
      <w:pPr>
        <w:spacing w:line="360" w:lineRule="auto"/>
        <w:ind w:firstLine="562" w:firstLineChars="200"/>
        <w:jc w:val="left"/>
        <w:rPr>
          <w:rFonts w:hint="eastAsia" w:ascii="Times New Roman" w:hAnsi="Times New Roman" w:cs="Times New Roman"/>
          <w:b/>
          <w:bCs/>
          <w:color w:val="auto"/>
          <w:sz w:val="28"/>
          <w:szCs w:val="28"/>
          <w:highlight w:val="none"/>
          <w:lang w:val="en-US" w:eastAsia="zh-CN" w:bidi="th-TH"/>
        </w:rPr>
      </w:pPr>
      <w:r>
        <w:rPr>
          <w:rFonts w:hint="eastAsia" w:ascii="Times New Roman" w:hAnsi="Times New Roman" w:cs="Times New Roman"/>
          <w:b/>
          <w:bCs/>
          <w:color w:val="auto"/>
          <w:sz w:val="28"/>
          <w:szCs w:val="28"/>
          <w:highlight w:val="none"/>
          <w:lang w:val="en-US" w:eastAsia="zh-CN" w:bidi="th-TH"/>
        </w:rPr>
        <w:t>2、国家相关政策</w:t>
      </w:r>
    </w:p>
    <w:bookmarkEnd w:id="16"/>
    <w:p>
      <w:pPr>
        <w:spacing w:line="360" w:lineRule="auto"/>
        <w:ind w:firstLine="560" w:firstLineChars="200"/>
        <w:jc w:val="left"/>
        <w:rPr>
          <w:rFonts w:hint="eastAsia" w:ascii="Times New Roman" w:hAnsi="Times New Roman" w:cs="Times New Roman" w:eastAsiaTheme="minorEastAsia"/>
          <w:color w:val="0000FF"/>
          <w:sz w:val="28"/>
          <w:szCs w:val="28"/>
          <w:highlight w:val="none"/>
          <w:lang w:eastAsia="zh-CN" w:bidi="th-TH"/>
        </w:rPr>
      </w:pPr>
      <w:r>
        <w:rPr>
          <w:rFonts w:ascii="Times New Roman" w:hAnsi="Times New Roman" w:cs="Times New Roman"/>
          <w:color w:val="0000FF"/>
          <w:sz w:val="28"/>
          <w:szCs w:val="28"/>
          <w:highlight w:val="none"/>
          <w:lang w:bidi="th-TH"/>
        </w:rPr>
        <w:t>（1）</w:t>
      </w:r>
      <w:r>
        <w:rPr>
          <w:rFonts w:hint="eastAsia" w:ascii="Times New Roman" w:hAnsi="Times New Roman" w:cs="Times New Roman"/>
          <w:color w:val="0000FF"/>
          <w:sz w:val="28"/>
          <w:szCs w:val="28"/>
          <w:highlight w:val="none"/>
          <w:lang w:eastAsia="zh-CN" w:bidi="th-TH"/>
        </w:rPr>
        <w:t>《</w:t>
      </w:r>
      <w:r>
        <w:rPr>
          <w:rFonts w:hint="eastAsia" w:ascii="Times New Roman" w:hAnsi="Times New Roman" w:cs="Times New Roman"/>
          <w:color w:val="0000FF"/>
          <w:sz w:val="28"/>
          <w:szCs w:val="28"/>
          <w:highlight w:val="none"/>
          <w:lang w:val="en-US" w:eastAsia="zh-CN" w:bidi="th-TH"/>
        </w:rPr>
        <w:t>天然气利用管理办法</w:t>
      </w:r>
      <w:r>
        <w:rPr>
          <w:rFonts w:hint="eastAsia" w:ascii="Times New Roman" w:hAnsi="Times New Roman" w:cs="Times New Roman"/>
          <w:color w:val="0000FF"/>
          <w:sz w:val="28"/>
          <w:szCs w:val="28"/>
          <w:highlight w:val="none"/>
          <w:lang w:eastAsia="zh-CN" w:bidi="th-TH"/>
        </w:rPr>
        <w:t>》（2024年6月3日国家发展改革委令第21号）</w:t>
      </w:r>
    </w:p>
    <w:p>
      <w:pPr>
        <w:spacing w:line="360" w:lineRule="auto"/>
        <w:ind w:firstLine="560" w:firstLineChars="200"/>
        <w:jc w:val="left"/>
        <w:rPr>
          <w:rFonts w:hint="eastAsia" w:ascii="Times New Roman" w:hAnsi="Times New Roman" w:cs="Times New Roman" w:eastAsiaTheme="minorEastAsia"/>
          <w:color w:val="auto"/>
          <w:sz w:val="28"/>
          <w:szCs w:val="28"/>
          <w:highlight w:val="none"/>
          <w:lang w:eastAsia="zh-CN" w:bidi="th-TH"/>
        </w:rPr>
      </w:pPr>
      <w:r>
        <w:rPr>
          <w:rFonts w:ascii="Times New Roman" w:hAnsi="Times New Roman" w:cs="Times New Roman"/>
          <w:color w:val="auto"/>
          <w:sz w:val="28"/>
          <w:szCs w:val="28"/>
          <w:highlight w:val="none"/>
          <w:lang w:bidi="th-TH"/>
        </w:rPr>
        <w:t>（2）《</w:t>
      </w:r>
      <w:r>
        <w:rPr>
          <w:rFonts w:hint="eastAsia" w:ascii="Times New Roman" w:hAnsi="Times New Roman" w:cs="Times New Roman"/>
          <w:color w:val="auto"/>
          <w:sz w:val="28"/>
          <w:szCs w:val="28"/>
          <w:highlight w:val="none"/>
          <w:lang w:val="en-US" w:eastAsia="zh-CN" w:bidi="th-TH"/>
        </w:rPr>
        <w:t>关于印发&lt;</w:t>
      </w:r>
      <w:r>
        <w:rPr>
          <w:rFonts w:ascii="Times New Roman" w:hAnsi="Times New Roman" w:cs="Times New Roman"/>
          <w:color w:val="auto"/>
          <w:sz w:val="28"/>
          <w:szCs w:val="28"/>
          <w:highlight w:val="none"/>
          <w:lang w:bidi="th-TH"/>
        </w:rPr>
        <w:t>加快推进天然气利用的意见</w:t>
      </w:r>
      <w:r>
        <w:rPr>
          <w:rFonts w:hint="eastAsia" w:ascii="Times New Roman" w:hAnsi="Times New Roman" w:cs="Times New Roman"/>
          <w:color w:val="auto"/>
          <w:sz w:val="28"/>
          <w:szCs w:val="28"/>
          <w:highlight w:val="none"/>
          <w:lang w:val="en-US" w:eastAsia="zh-CN" w:bidi="th-TH"/>
        </w:rPr>
        <w:t>&gt;的通知</w:t>
      </w:r>
      <w:r>
        <w:rPr>
          <w:rFonts w:ascii="Times New Roman" w:hAnsi="Times New Roman" w:cs="Times New Roman"/>
          <w:color w:val="auto"/>
          <w:sz w:val="28"/>
          <w:szCs w:val="28"/>
          <w:highlight w:val="none"/>
          <w:lang w:bidi="th-TH"/>
        </w:rPr>
        <w:t>》（发改能源〔20</w:t>
      </w:r>
      <w:r>
        <w:rPr>
          <w:rFonts w:hint="eastAsia" w:ascii="Times New Roman" w:hAnsi="Times New Roman" w:cs="Times New Roman"/>
          <w:color w:val="auto"/>
          <w:sz w:val="28"/>
          <w:szCs w:val="28"/>
          <w:highlight w:val="none"/>
          <w:lang w:val="en-US" w:eastAsia="zh-CN" w:bidi="th-TH"/>
        </w:rPr>
        <w:t>17</w:t>
      </w:r>
      <w:r>
        <w:rPr>
          <w:rFonts w:ascii="Times New Roman" w:hAnsi="Times New Roman" w:cs="Times New Roman"/>
          <w:color w:val="auto"/>
          <w:sz w:val="28"/>
          <w:szCs w:val="28"/>
          <w:highlight w:val="none"/>
          <w:lang w:bidi="th-TH"/>
        </w:rPr>
        <w:t>〕1217号</w:t>
      </w:r>
      <w:r>
        <w:rPr>
          <w:rFonts w:hint="eastAsia" w:ascii="Times New Roman" w:hAnsi="Times New Roman" w:cs="Times New Roman"/>
          <w:color w:val="auto"/>
          <w:sz w:val="28"/>
          <w:szCs w:val="28"/>
          <w:highlight w:val="none"/>
          <w:lang w:eastAsia="zh-CN" w:bidi="th-TH"/>
        </w:rPr>
        <w:t>）</w:t>
      </w:r>
    </w:p>
    <w:p>
      <w:pPr>
        <w:spacing w:line="360" w:lineRule="auto"/>
        <w:ind w:firstLine="560" w:firstLineChars="200"/>
        <w:jc w:val="left"/>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（3）《关于深化石油天然气改革的若干意见》</w:t>
      </w:r>
      <w:r>
        <w:rPr>
          <w:rFonts w:hint="eastAsia" w:ascii="Times New Roman" w:hAnsi="Times New Roman" w:cs="Times New Roman"/>
          <w:color w:val="auto"/>
          <w:sz w:val="28"/>
          <w:szCs w:val="28"/>
          <w:highlight w:val="none"/>
          <w:lang w:eastAsia="zh-CN" w:bidi="th-TH"/>
        </w:rPr>
        <w:t>（</w:t>
      </w:r>
      <w:r>
        <w:rPr>
          <w:rFonts w:ascii="Times New Roman" w:hAnsi="Times New Roman" w:cs="Times New Roman"/>
          <w:color w:val="auto"/>
          <w:sz w:val="28"/>
          <w:szCs w:val="28"/>
          <w:highlight w:val="none"/>
          <w:lang w:bidi="th-TH"/>
        </w:rPr>
        <w:t>中共中央国务院〔20</w:t>
      </w:r>
      <w:r>
        <w:rPr>
          <w:rFonts w:hint="eastAsia" w:ascii="Times New Roman" w:hAnsi="Times New Roman" w:cs="Times New Roman"/>
          <w:color w:val="auto"/>
          <w:sz w:val="28"/>
          <w:szCs w:val="28"/>
          <w:highlight w:val="none"/>
          <w:lang w:val="en-US" w:eastAsia="zh-CN" w:bidi="th-TH"/>
        </w:rPr>
        <w:t>17</w:t>
      </w:r>
      <w:r>
        <w:rPr>
          <w:rFonts w:ascii="Times New Roman" w:hAnsi="Times New Roman" w:cs="Times New Roman"/>
          <w:color w:val="auto"/>
          <w:sz w:val="28"/>
          <w:szCs w:val="28"/>
          <w:highlight w:val="none"/>
          <w:lang w:bidi="th-TH"/>
        </w:rPr>
        <w:t>〕15号）</w:t>
      </w:r>
    </w:p>
    <w:p>
      <w:pPr>
        <w:spacing w:line="360" w:lineRule="auto"/>
        <w:ind w:firstLine="560" w:firstLineChars="200"/>
        <w:jc w:val="left"/>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（4）《石油天然气管网运营机制改革实施意见》</w:t>
      </w:r>
    </w:p>
    <w:p>
      <w:pPr>
        <w:ind w:firstLine="560" w:firstLineChars="200"/>
        <w:jc w:val="left"/>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bidi="th-TH"/>
        </w:rPr>
        <w:t>（5）《关于加快储气设施建设和完善储气调峰辅助服务市场机制的意见》</w:t>
      </w:r>
      <w:r>
        <w:rPr>
          <w:rFonts w:hint="eastAsia" w:ascii="Times New Roman" w:hAnsi="Times New Roman" w:cs="Times New Roman"/>
          <w:color w:val="auto"/>
          <w:sz w:val="28"/>
          <w:szCs w:val="28"/>
          <w:highlight w:val="none"/>
          <w:lang w:eastAsia="zh-CN" w:bidi="th-TH"/>
        </w:rPr>
        <w:t>（</w:t>
      </w:r>
      <w:r>
        <w:rPr>
          <w:rFonts w:ascii="Times New Roman" w:hAnsi="Times New Roman" w:cs="Times New Roman"/>
          <w:color w:val="auto"/>
          <w:sz w:val="28"/>
          <w:szCs w:val="28"/>
          <w:highlight w:val="none"/>
          <w:lang w:bidi="th-TH"/>
        </w:rPr>
        <w:t>发改能源规〔2018〕637号</w:t>
      </w:r>
      <w:r>
        <w:rPr>
          <w:rFonts w:hint="eastAsia" w:ascii="Times New Roman" w:hAnsi="Times New Roman" w:cs="Times New Roman"/>
          <w:color w:val="auto"/>
          <w:sz w:val="28"/>
          <w:szCs w:val="28"/>
          <w:highlight w:val="none"/>
          <w:lang w:eastAsia="zh-CN" w:bidi="th-TH"/>
        </w:rPr>
        <w:t>）</w:t>
      </w:r>
    </w:p>
    <w:p>
      <w:pPr>
        <w:spacing w:line="360" w:lineRule="auto"/>
        <w:ind w:firstLine="560" w:firstLineChars="200"/>
        <w:jc w:val="left"/>
        <w:rPr>
          <w:rFonts w:hint="eastAsia" w:ascii="Times New Roman" w:hAnsi="Times New Roman" w:cs="Times New Roman"/>
          <w:color w:val="auto"/>
          <w:sz w:val="28"/>
          <w:szCs w:val="28"/>
          <w:highlight w:val="none"/>
          <w:lang w:eastAsia="zh-CN" w:bidi="th-TH"/>
        </w:rPr>
      </w:pPr>
      <w:r>
        <w:rPr>
          <w:rFonts w:ascii="Times New Roman" w:hAnsi="Times New Roman" w:cs="Times New Roman"/>
          <w:color w:val="auto"/>
          <w:sz w:val="28"/>
          <w:szCs w:val="28"/>
          <w:highlight w:val="none"/>
          <w:lang w:bidi="th-TH"/>
        </w:rPr>
        <w:t>（6）《关于加快推进天然气储备能力建设的实施意见》</w:t>
      </w:r>
      <w:r>
        <w:rPr>
          <w:rFonts w:hint="eastAsia" w:ascii="Times New Roman" w:hAnsi="Times New Roman" w:cs="Times New Roman"/>
          <w:color w:val="auto"/>
          <w:sz w:val="28"/>
          <w:szCs w:val="28"/>
          <w:highlight w:val="none"/>
          <w:lang w:eastAsia="zh-CN" w:bidi="th-TH"/>
        </w:rPr>
        <w:t>（</w:t>
      </w:r>
      <w:r>
        <w:rPr>
          <w:rFonts w:ascii="Times New Roman" w:hAnsi="Times New Roman" w:cs="Times New Roman"/>
          <w:color w:val="auto"/>
          <w:sz w:val="28"/>
          <w:szCs w:val="28"/>
          <w:highlight w:val="none"/>
          <w:lang w:bidi="th-TH"/>
        </w:rPr>
        <w:t>发改价格〔20</w:t>
      </w:r>
      <w:r>
        <w:rPr>
          <w:rFonts w:hint="eastAsia" w:ascii="Times New Roman" w:hAnsi="Times New Roman" w:cs="Times New Roman"/>
          <w:color w:val="auto"/>
          <w:sz w:val="28"/>
          <w:szCs w:val="28"/>
          <w:highlight w:val="none"/>
          <w:lang w:bidi="th-TH"/>
        </w:rPr>
        <w:t>20</w:t>
      </w:r>
      <w:r>
        <w:rPr>
          <w:rFonts w:ascii="Times New Roman" w:hAnsi="Times New Roman" w:cs="Times New Roman"/>
          <w:color w:val="auto"/>
          <w:sz w:val="28"/>
          <w:szCs w:val="28"/>
          <w:highlight w:val="none"/>
          <w:lang w:bidi="th-TH"/>
        </w:rPr>
        <w:t>〕567号</w:t>
      </w:r>
      <w:r>
        <w:rPr>
          <w:rFonts w:hint="eastAsia" w:ascii="Times New Roman" w:hAnsi="Times New Roman" w:cs="Times New Roman"/>
          <w:color w:val="auto"/>
          <w:sz w:val="28"/>
          <w:szCs w:val="28"/>
          <w:highlight w:val="none"/>
          <w:lang w:eastAsia="zh-CN" w:bidi="th-TH"/>
        </w:rPr>
        <w:t>）</w:t>
      </w:r>
    </w:p>
    <w:p>
      <w:pPr>
        <w:spacing w:line="360" w:lineRule="auto"/>
        <w:ind w:firstLine="560" w:firstLineChars="200"/>
        <w:jc w:val="left"/>
        <w:rPr>
          <w:rFonts w:hint="eastAsia" w:ascii="Times New Roman" w:hAnsi="Times New Roman" w:cs="Times New Roman"/>
          <w:color w:val="auto"/>
          <w:sz w:val="28"/>
          <w:szCs w:val="28"/>
          <w:highlight w:val="none"/>
          <w:lang w:eastAsia="zh-CN" w:bidi="th-TH"/>
        </w:rPr>
      </w:pP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7</w:t>
      </w: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辽宁全面振兴新突破三年行动方案（2023-2025）</w:t>
      </w:r>
      <w:r>
        <w:rPr>
          <w:rFonts w:hint="eastAsia" w:ascii="Times New Roman" w:hAnsi="Times New Roman" w:cs="Times New Roman"/>
          <w:color w:val="auto"/>
          <w:sz w:val="28"/>
          <w:szCs w:val="28"/>
          <w:highlight w:val="none"/>
          <w:lang w:eastAsia="zh-CN" w:bidi="th-TH"/>
        </w:rPr>
        <w:t>》</w:t>
      </w:r>
    </w:p>
    <w:p>
      <w:pPr>
        <w:spacing w:line="360" w:lineRule="auto"/>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w:t>
      </w:r>
      <w:r>
        <w:rPr>
          <w:rFonts w:hint="eastAsia" w:ascii="Times New Roman" w:hAnsi="Times New Roman" w:cs="Times New Roman"/>
          <w:color w:val="auto"/>
          <w:sz w:val="28"/>
          <w:szCs w:val="28"/>
          <w:highlight w:val="none"/>
          <w:lang w:val="en-US" w:eastAsia="zh-CN" w:bidi="th-TH"/>
        </w:rPr>
        <w:t>8</w:t>
      </w:r>
      <w:r>
        <w:rPr>
          <w:rFonts w:ascii="Times New Roman" w:hAnsi="Times New Roman" w:cs="Times New Roman"/>
          <w:color w:val="auto"/>
          <w:sz w:val="28"/>
          <w:szCs w:val="28"/>
          <w:highlight w:val="none"/>
          <w:lang w:bidi="th-TH"/>
        </w:rPr>
        <w:t>）《</w:t>
      </w:r>
      <w:r>
        <w:rPr>
          <w:rFonts w:hint="eastAsia" w:ascii="Times New Roman" w:hAnsi="Times New Roman" w:cs="Times New Roman"/>
          <w:color w:val="auto"/>
          <w:sz w:val="28"/>
          <w:szCs w:val="28"/>
          <w:highlight w:val="none"/>
          <w:lang w:val="en-US" w:eastAsia="zh-CN" w:bidi="th-TH"/>
        </w:rPr>
        <w:t>抚顺市</w:t>
      </w:r>
      <w:r>
        <w:rPr>
          <w:rFonts w:ascii="Times New Roman" w:hAnsi="Times New Roman" w:cs="Times New Roman"/>
          <w:color w:val="auto"/>
          <w:sz w:val="28"/>
          <w:szCs w:val="28"/>
          <w:highlight w:val="none"/>
          <w:lang w:bidi="th-TH"/>
        </w:rPr>
        <w:t>国民经济和社会发展第十四个五年规划和二〇三五年远景目标纲要》</w:t>
      </w:r>
    </w:p>
    <w:p>
      <w:pPr>
        <w:spacing w:line="360" w:lineRule="auto"/>
        <w:ind w:firstLine="560" w:firstLineChars="200"/>
        <w:rPr>
          <w:rFonts w:hint="eastAsia" w:ascii="Times New Roman" w:hAnsi="Times New Roman" w:cs="Times New Roman"/>
          <w:color w:val="auto"/>
          <w:sz w:val="28"/>
          <w:szCs w:val="28"/>
          <w:highlight w:val="none"/>
          <w:lang w:eastAsia="zh-CN" w:bidi="th-TH"/>
        </w:rPr>
      </w:pPr>
      <w:r>
        <w:rPr>
          <w:rFonts w:hint="eastAsia" w:ascii="Times New Roman" w:hAnsi="Times New Roman" w:cs="Times New Roman"/>
          <w:color w:val="auto"/>
          <w:sz w:val="28"/>
          <w:szCs w:val="28"/>
          <w:highlight w:val="none"/>
          <w:lang w:bidi="th-TH"/>
        </w:rPr>
        <w:t>（</w:t>
      </w:r>
      <w:r>
        <w:rPr>
          <w:rFonts w:hint="eastAsia" w:ascii="Times New Roman" w:hAnsi="Times New Roman" w:cs="Times New Roman"/>
          <w:color w:val="auto"/>
          <w:sz w:val="28"/>
          <w:szCs w:val="28"/>
          <w:highlight w:val="none"/>
          <w:lang w:val="en-US" w:eastAsia="zh-CN" w:bidi="th-TH"/>
        </w:rPr>
        <w:t>9</w:t>
      </w:r>
      <w:r>
        <w:rPr>
          <w:rFonts w:hint="eastAsia" w:ascii="Times New Roman" w:hAnsi="Times New Roman" w:cs="Times New Roman"/>
          <w:color w:val="auto"/>
          <w:sz w:val="28"/>
          <w:szCs w:val="28"/>
          <w:highlight w:val="none"/>
          <w:lang w:bidi="th-TH"/>
        </w:rPr>
        <w:t>）</w:t>
      </w:r>
      <w:r>
        <w:rPr>
          <w:rFonts w:hint="eastAsia" w:ascii="Times New Roman" w:hAnsi="Times New Roman" w:cs="Times New Roman"/>
          <w:b w:val="0"/>
          <w:bCs w:val="0"/>
          <w:color w:val="auto"/>
          <w:sz w:val="28"/>
          <w:szCs w:val="28"/>
          <w:highlight w:val="none"/>
          <w:lang w:val="en-US" w:eastAsia="zh-CN" w:bidi="th-TH"/>
        </w:rPr>
        <w:t>《抚顺市人民政府办公室关于印发抚顺市“十四五”能源发展规划的通知》（抚政办发</w:t>
      </w:r>
      <w:r>
        <w:rPr>
          <w:rFonts w:ascii="Times New Roman" w:hAnsi="Times New Roman" w:cs="Times New Roman"/>
          <w:b w:val="0"/>
          <w:bCs w:val="0"/>
          <w:color w:val="auto"/>
          <w:sz w:val="28"/>
          <w:szCs w:val="28"/>
          <w:highlight w:val="none"/>
          <w:lang w:bidi="th-TH"/>
        </w:rPr>
        <w:t>〔20</w:t>
      </w:r>
      <w:r>
        <w:rPr>
          <w:rFonts w:hint="eastAsia" w:ascii="Times New Roman" w:hAnsi="Times New Roman" w:cs="Times New Roman"/>
          <w:b w:val="0"/>
          <w:bCs w:val="0"/>
          <w:color w:val="auto"/>
          <w:sz w:val="28"/>
          <w:szCs w:val="28"/>
          <w:highlight w:val="none"/>
          <w:lang w:val="en-US" w:eastAsia="zh-CN" w:bidi="th-TH"/>
        </w:rPr>
        <w:t>22</w:t>
      </w:r>
      <w:r>
        <w:rPr>
          <w:rFonts w:ascii="Times New Roman" w:hAnsi="Times New Roman" w:cs="Times New Roman"/>
          <w:b w:val="0"/>
          <w:bCs w:val="0"/>
          <w:color w:val="auto"/>
          <w:sz w:val="28"/>
          <w:szCs w:val="28"/>
          <w:highlight w:val="none"/>
          <w:lang w:bidi="th-TH"/>
        </w:rPr>
        <w:t>〕</w:t>
      </w:r>
      <w:r>
        <w:rPr>
          <w:rFonts w:hint="eastAsia" w:ascii="Times New Roman" w:hAnsi="Times New Roman" w:cs="Times New Roman"/>
          <w:b w:val="0"/>
          <w:bCs w:val="0"/>
          <w:color w:val="auto"/>
          <w:sz w:val="28"/>
          <w:szCs w:val="28"/>
          <w:highlight w:val="none"/>
          <w:lang w:val="en-US" w:eastAsia="zh-CN" w:bidi="th-TH"/>
        </w:rPr>
        <w:t>41号）</w:t>
      </w:r>
    </w:p>
    <w:p>
      <w:pPr>
        <w:spacing w:line="360" w:lineRule="auto"/>
        <w:ind w:firstLine="562" w:firstLineChars="200"/>
        <w:rPr>
          <w:rFonts w:ascii="Times New Roman" w:hAnsi="Times New Roman" w:eastAsia="宋体" w:cs="Times New Roman"/>
          <w:b/>
          <w:bCs/>
          <w:color w:val="auto"/>
          <w:sz w:val="28"/>
          <w:szCs w:val="28"/>
          <w:highlight w:val="none"/>
        </w:rPr>
      </w:pPr>
      <w:r>
        <w:rPr>
          <w:rFonts w:hint="eastAsia" w:ascii="Times New Roman" w:hAnsi="Calibri" w:eastAsia="宋体" w:cs="Times New Roman"/>
          <w:b/>
          <w:bCs/>
          <w:color w:val="auto"/>
          <w:sz w:val="28"/>
          <w:szCs w:val="28"/>
          <w:highlight w:val="none"/>
          <w:lang w:val="en-US" w:eastAsia="zh-CN"/>
        </w:rPr>
        <w:t>3</w:t>
      </w:r>
      <w:r>
        <w:rPr>
          <w:rFonts w:ascii="Times New Roman" w:hAnsi="Calibri" w:eastAsia="宋体" w:cs="Times New Roman"/>
          <w:b/>
          <w:bCs/>
          <w:color w:val="auto"/>
          <w:sz w:val="28"/>
          <w:szCs w:val="28"/>
          <w:highlight w:val="none"/>
        </w:rPr>
        <w:t>、相关规划</w:t>
      </w:r>
    </w:p>
    <w:p>
      <w:pPr>
        <w:spacing w:line="360" w:lineRule="auto"/>
        <w:ind w:firstLine="560" w:firstLineChars="200"/>
        <w:rPr>
          <w:rFonts w:hint="eastAsia" w:ascii="Times New Roman" w:hAnsi="Times New Roman" w:cs="Times New Roman"/>
          <w:color w:val="auto"/>
          <w:sz w:val="28"/>
          <w:szCs w:val="28"/>
          <w:highlight w:val="none"/>
          <w:lang w:eastAsia="zh-CN" w:bidi="th-TH"/>
        </w:rPr>
      </w:pPr>
      <w:bookmarkStart w:id="17" w:name="_Hlk97301790"/>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1</w:t>
      </w: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十四五</w:t>
      </w: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现代能源体系规划</w:t>
      </w:r>
      <w:r>
        <w:rPr>
          <w:rFonts w:hint="eastAsia" w:ascii="Times New Roman" w:hAnsi="Times New Roman" w:cs="Times New Roman"/>
          <w:color w:val="auto"/>
          <w:sz w:val="28"/>
          <w:szCs w:val="28"/>
          <w:highlight w:val="none"/>
          <w:lang w:eastAsia="zh-CN" w:bidi="th-TH"/>
        </w:rPr>
        <w:t>》</w:t>
      </w:r>
    </w:p>
    <w:p>
      <w:pPr>
        <w:spacing w:line="360" w:lineRule="auto"/>
        <w:ind w:firstLine="560" w:firstLineChars="200"/>
        <w:rPr>
          <w:rFonts w:hint="eastAsia" w:ascii="Times New Roman" w:hAnsi="Times New Roman" w:cs="Times New Roman"/>
          <w:color w:val="auto"/>
          <w:sz w:val="28"/>
          <w:szCs w:val="28"/>
          <w:highlight w:val="none"/>
          <w:lang w:eastAsia="zh-CN" w:bidi="th-TH"/>
        </w:rPr>
      </w:pP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2</w:t>
      </w:r>
      <w:r>
        <w:rPr>
          <w:rFonts w:hint="eastAsia" w:ascii="Times New Roman" w:hAnsi="Times New Roman" w:cs="Times New Roman"/>
          <w:color w:val="auto"/>
          <w:sz w:val="28"/>
          <w:szCs w:val="28"/>
          <w:highlight w:val="none"/>
          <w:lang w:eastAsia="zh-CN" w:bidi="th-TH"/>
        </w:rPr>
        <w:t>）《“十四五”全国城市基础设施建设规划》</w:t>
      </w:r>
    </w:p>
    <w:p>
      <w:pPr>
        <w:spacing w:line="360" w:lineRule="auto"/>
        <w:ind w:firstLine="560" w:firstLineChars="200"/>
        <w:rPr>
          <w:rFonts w:hint="eastAsia" w:ascii="Times New Roman" w:hAnsi="Times New Roman" w:cs="Times New Roman"/>
          <w:color w:val="auto"/>
          <w:sz w:val="28"/>
          <w:szCs w:val="28"/>
          <w:highlight w:val="none"/>
          <w:lang w:eastAsia="zh-CN" w:bidi="th-TH"/>
        </w:rPr>
      </w:pP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3</w:t>
      </w: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辽宁省“十四五”能源发展规划</w:t>
      </w:r>
      <w:r>
        <w:rPr>
          <w:rFonts w:hint="eastAsia" w:ascii="Times New Roman" w:hAnsi="Times New Roman" w:cs="Times New Roman"/>
          <w:color w:val="auto"/>
          <w:sz w:val="28"/>
          <w:szCs w:val="28"/>
          <w:highlight w:val="none"/>
          <w:lang w:eastAsia="zh-CN" w:bidi="th-TH"/>
        </w:rPr>
        <w:t>》</w:t>
      </w:r>
    </w:p>
    <w:p>
      <w:pPr>
        <w:spacing w:line="360" w:lineRule="auto"/>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w:t>
      </w:r>
      <w:r>
        <w:rPr>
          <w:rFonts w:hint="eastAsia" w:ascii="Times New Roman" w:hAnsi="Times New Roman" w:cs="Times New Roman"/>
          <w:color w:val="auto"/>
          <w:sz w:val="28"/>
          <w:szCs w:val="28"/>
          <w:highlight w:val="none"/>
          <w:lang w:val="en-US" w:eastAsia="zh-CN" w:bidi="th-TH"/>
        </w:rPr>
        <w:t>4</w:t>
      </w:r>
      <w:r>
        <w:rPr>
          <w:rFonts w:ascii="Times New Roman" w:hAnsi="Times New Roman" w:cs="Times New Roman"/>
          <w:color w:val="auto"/>
          <w:sz w:val="28"/>
          <w:szCs w:val="28"/>
          <w:highlight w:val="none"/>
          <w:lang w:bidi="th-TH"/>
        </w:rPr>
        <w:t>）</w:t>
      </w:r>
      <w:bookmarkStart w:id="18" w:name="_Hlk99525976"/>
      <w:r>
        <w:rPr>
          <w:rFonts w:ascii="Times New Roman" w:hAnsi="Times New Roman" w:cs="Times New Roman"/>
          <w:color w:val="auto"/>
          <w:sz w:val="28"/>
          <w:szCs w:val="28"/>
          <w:highlight w:val="none"/>
          <w:lang w:bidi="th-TH"/>
        </w:rPr>
        <w:t>《</w:t>
      </w:r>
      <w:r>
        <w:rPr>
          <w:rFonts w:hint="eastAsia" w:ascii="Times New Roman" w:hAnsi="Times New Roman" w:cs="Times New Roman"/>
          <w:color w:val="auto"/>
          <w:sz w:val="28"/>
          <w:szCs w:val="28"/>
          <w:highlight w:val="none"/>
          <w:lang w:val="en-US" w:eastAsia="zh-CN" w:bidi="th-TH"/>
        </w:rPr>
        <w:t>抚顺市</w:t>
      </w:r>
      <w:r>
        <w:rPr>
          <w:rFonts w:ascii="Times New Roman" w:hAnsi="Times New Roman" w:cs="Times New Roman"/>
          <w:color w:val="auto"/>
          <w:sz w:val="28"/>
          <w:szCs w:val="28"/>
          <w:highlight w:val="none"/>
          <w:lang w:bidi="th-TH"/>
        </w:rPr>
        <w:t>国土空间总体规划（2021-</w:t>
      </w:r>
      <w:r>
        <w:rPr>
          <w:rFonts w:hint="eastAsia" w:ascii="Times New Roman" w:hAnsi="Times New Roman" w:cs="Times New Roman"/>
          <w:color w:val="auto"/>
          <w:sz w:val="28"/>
          <w:szCs w:val="28"/>
          <w:highlight w:val="none"/>
          <w:lang w:eastAsia="zh-CN" w:bidi="th-TH"/>
        </w:rPr>
        <w:t>203</w:t>
      </w:r>
      <w:r>
        <w:rPr>
          <w:rFonts w:hint="eastAsia" w:ascii="Times New Roman" w:hAnsi="Times New Roman" w:cs="Times New Roman"/>
          <w:color w:val="auto"/>
          <w:sz w:val="28"/>
          <w:szCs w:val="28"/>
          <w:highlight w:val="none"/>
          <w:lang w:val="en-US" w:eastAsia="zh-CN" w:bidi="th-TH"/>
        </w:rPr>
        <w:t>5</w:t>
      </w:r>
      <w:r>
        <w:rPr>
          <w:rFonts w:ascii="Times New Roman" w:hAnsi="Times New Roman" w:cs="Times New Roman"/>
          <w:color w:val="auto"/>
          <w:sz w:val="28"/>
          <w:szCs w:val="28"/>
          <w:highlight w:val="none"/>
          <w:lang w:bidi="th-TH"/>
        </w:rPr>
        <w:t>年）》</w:t>
      </w:r>
    </w:p>
    <w:p>
      <w:pPr>
        <w:spacing w:line="360" w:lineRule="auto"/>
        <w:ind w:firstLine="560" w:firstLineChars="200"/>
        <w:rPr>
          <w:rFonts w:hint="eastAsia" w:ascii="Times New Roman" w:hAnsi="Times New Roman" w:cs="Times New Roman"/>
          <w:b w:val="0"/>
          <w:bCs w:val="0"/>
          <w:color w:val="auto"/>
          <w:sz w:val="28"/>
          <w:szCs w:val="28"/>
          <w:highlight w:val="none"/>
          <w:lang w:val="en-US" w:eastAsia="zh-CN" w:bidi="th-TH"/>
        </w:rPr>
      </w:pPr>
      <w:r>
        <w:rPr>
          <w:rFonts w:hint="eastAsia" w:ascii="Times New Roman" w:hAnsi="Times New Roman" w:cs="Times New Roman"/>
          <w:color w:val="auto"/>
          <w:sz w:val="28"/>
          <w:szCs w:val="28"/>
          <w:highlight w:val="none"/>
          <w:lang w:bidi="th-TH"/>
        </w:rPr>
        <w:t>（</w:t>
      </w:r>
      <w:r>
        <w:rPr>
          <w:rFonts w:hint="eastAsia" w:ascii="Times New Roman" w:hAnsi="Times New Roman" w:cs="Times New Roman"/>
          <w:color w:val="auto"/>
          <w:sz w:val="28"/>
          <w:szCs w:val="28"/>
          <w:highlight w:val="none"/>
          <w:lang w:val="en-US" w:eastAsia="zh-CN" w:bidi="th-TH"/>
        </w:rPr>
        <w:t>5</w:t>
      </w:r>
      <w:r>
        <w:rPr>
          <w:rFonts w:hint="eastAsia" w:ascii="Times New Roman" w:hAnsi="Times New Roman" w:cs="Times New Roman"/>
          <w:color w:val="auto"/>
          <w:sz w:val="28"/>
          <w:szCs w:val="28"/>
          <w:highlight w:val="none"/>
          <w:lang w:bidi="th-TH"/>
        </w:rPr>
        <w:t>）</w:t>
      </w:r>
      <w:r>
        <w:rPr>
          <w:rFonts w:hint="eastAsia" w:ascii="Times New Roman" w:hAnsi="Times New Roman" w:cs="Times New Roman"/>
          <w:b w:val="0"/>
          <w:bCs w:val="0"/>
          <w:color w:val="auto"/>
          <w:sz w:val="28"/>
          <w:szCs w:val="28"/>
          <w:highlight w:val="none"/>
          <w:lang w:val="en-US" w:eastAsia="zh-CN" w:bidi="th-TH"/>
        </w:rPr>
        <w:t>《抚顺市“十四五”能源发展规划》</w:t>
      </w:r>
    </w:p>
    <w:p>
      <w:pPr>
        <w:spacing w:line="360" w:lineRule="auto"/>
        <w:ind w:firstLine="560" w:firstLineChars="200"/>
        <w:rPr>
          <w:rFonts w:hint="eastAsia" w:ascii="Times New Roman" w:hAnsi="Times New Roman" w:cs="Times New Roman"/>
          <w:color w:val="auto"/>
          <w:sz w:val="28"/>
          <w:szCs w:val="28"/>
          <w:highlight w:val="none"/>
          <w:lang w:eastAsia="zh-CN" w:bidi="th-TH"/>
        </w:rPr>
      </w:pP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6</w:t>
      </w: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抚顺市中心城区燃气发展专项规划（2022-2030年）</w:t>
      </w:r>
      <w:r>
        <w:rPr>
          <w:rFonts w:hint="eastAsia" w:ascii="Times New Roman" w:hAnsi="Times New Roman" w:cs="Times New Roman"/>
          <w:color w:val="auto"/>
          <w:sz w:val="28"/>
          <w:szCs w:val="28"/>
          <w:highlight w:val="none"/>
          <w:lang w:eastAsia="zh-CN" w:bidi="th-TH"/>
        </w:rPr>
        <w:t>》</w:t>
      </w:r>
    </w:p>
    <w:p>
      <w:pPr>
        <w:spacing w:line="360" w:lineRule="auto"/>
        <w:ind w:firstLine="560" w:firstLineChars="200"/>
        <w:rPr>
          <w:rFonts w:hint="eastAsia" w:ascii="Times New Roman" w:hAnsi="Times New Roman" w:cs="Times New Roman"/>
          <w:b w:val="0"/>
          <w:bCs w:val="0"/>
          <w:color w:val="auto"/>
          <w:sz w:val="28"/>
          <w:szCs w:val="28"/>
          <w:highlight w:val="none"/>
          <w:lang w:val="en-US" w:eastAsia="zh-CN" w:bidi="th-TH"/>
        </w:rPr>
      </w:pP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7</w:t>
      </w:r>
      <w:r>
        <w:rPr>
          <w:rFonts w:hint="eastAsia" w:ascii="Times New Roman" w:hAnsi="Times New Roman" w:cs="Times New Roman"/>
          <w:color w:val="auto"/>
          <w:sz w:val="28"/>
          <w:szCs w:val="28"/>
          <w:highlight w:val="none"/>
          <w:lang w:eastAsia="zh-CN" w:bidi="th-TH"/>
        </w:rPr>
        <w:t>）《抚顺</w:t>
      </w:r>
      <w:r>
        <w:rPr>
          <w:rFonts w:hint="eastAsia" w:ascii="Times New Roman" w:hAnsi="Times New Roman" w:cs="Times New Roman"/>
          <w:color w:val="auto"/>
          <w:sz w:val="28"/>
          <w:szCs w:val="28"/>
          <w:highlight w:val="none"/>
          <w:lang w:val="en-US" w:eastAsia="zh-CN" w:bidi="th-TH"/>
        </w:rPr>
        <w:t>高新技术产业开发区国土空间</w:t>
      </w:r>
      <w:r>
        <w:rPr>
          <w:rFonts w:hint="eastAsia" w:ascii="Times New Roman" w:hAnsi="Times New Roman" w:cs="Times New Roman"/>
          <w:color w:val="auto"/>
          <w:sz w:val="28"/>
          <w:szCs w:val="28"/>
          <w:highlight w:val="none"/>
          <w:lang w:eastAsia="zh-CN" w:bidi="th-TH"/>
        </w:rPr>
        <w:t>规划（20</w:t>
      </w:r>
      <w:r>
        <w:rPr>
          <w:rFonts w:hint="eastAsia" w:ascii="Times New Roman" w:hAnsi="Times New Roman" w:cs="Times New Roman"/>
          <w:color w:val="auto"/>
          <w:sz w:val="28"/>
          <w:szCs w:val="28"/>
          <w:highlight w:val="none"/>
          <w:lang w:val="en-US" w:eastAsia="zh-CN" w:bidi="th-TH"/>
        </w:rPr>
        <w:t>21-2035年</w:t>
      </w:r>
      <w:r>
        <w:rPr>
          <w:rFonts w:hint="eastAsia" w:ascii="Times New Roman" w:hAnsi="Times New Roman" w:cs="Times New Roman"/>
          <w:color w:val="auto"/>
          <w:sz w:val="28"/>
          <w:szCs w:val="28"/>
          <w:highlight w:val="none"/>
          <w:lang w:eastAsia="zh-CN" w:bidi="th-TH"/>
        </w:rPr>
        <w:t>）》</w:t>
      </w:r>
    </w:p>
    <w:bookmarkEnd w:id="17"/>
    <w:bookmarkEnd w:id="18"/>
    <w:p>
      <w:pPr>
        <w:spacing w:line="360" w:lineRule="auto"/>
        <w:ind w:firstLine="562" w:firstLineChars="200"/>
        <w:rPr>
          <w:rFonts w:ascii="Times New Roman" w:hAnsi="Times New Roman" w:eastAsia="宋体" w:cs="Times New Roman"/>
          <w:b/>
          <w:bCs/>
          <w:color w:val="auto"/>
          <w:sz w:val="28"/>
          <w:szCs w:val="28"/>
          <w:highlight w:val="none"/>
        </w:rPr>
      </w:pPr>
      <w:r>
        <w:rPr>
          <w:rFonts w:hint="eastAsia" w:ascii="Times New Roman" w:hAnsi="Calibri" w:eastAsia="宋体" w:cs="Times New Roman"/>
          <w:b/>
          <w:bCs/>
          <w:color w:val="auto"/>
          <w:sz w:val="28"/>
          <w:szCs w:val="28"/>
          <w:highlight w:val="none"/>
          <w:lang w:val="en-US" w:eastAsia="zh-CN"/>
        </w:rPr>
        <w:t>4</w:t>
      </w:r>
      <w:r>
        <w:rPr>
          <w:rFonts w:ascii="Times New Roman" w:hAnsi="Calibri" w:eastAsia="宋体" w:cs="Times New Roman"/>
          <w:b/>
          <w:bCs/>
          <w:color w:val="auto"/>
          <w:sz w:val="28"/>
          <w:szCs w:val="28"/>
          <w:highlight w:val="none"/>
        </w:rPr>
        <w:t>、技术规范</w:t>
      </w:r>
    </w:p>
    <w:p>
      <w:pPr>
        <w:ind w:firstLine="560" w:firstLineChars="200"/>
        <w:jc w:val="left"/>
        <w:rPr>
          <w:rFonts w:ascii="Times New Roman" w:hAnsi="Times New Roman" w:cs="Times New Roman"/>
          <w:color w:val="auto"/>
          <w:sz w:val="28"/>
          <w:szCs w:val="28"/>
          <w:highlight w:val="none"/>
          <w:lang w:bidi="th-TH"/>
        </w:rPr>
      </w:pPr>
      <w:bookmarkStart w:id="19" w:name="_Hlk98743110"/>
      <w:bookmarkStart w:id="20" w:name="_Toc22504"/>
      <w:r>
        <w:rPr>
          <w:rFonts w:ascii="Times New Roman" w:hAnsi="Times New Roman" w:cs="Times New Roman"/>
          <w:color w:val="auto"/>
          <w:sz w:val="28"/>
          <w:szCs w:val="28"/>
          <w:highlight w:val="none"/>
          <w:lang w:bidi="th-TH"/>
        </w:rPr>
        <w:t>（1）《城镇燃气规划规范》GB/T51098-2015</w:t>
      </w:r>
    </w:p>
    <w:p>
      <w:pPr>
        <w:ind w:firstLine="560" w:firstLineChars="200"/>
        <w:jc w:val="left"/>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（2）《建筑设计防火规范》GB50016-2014（2018年版）</w:t>
      </w:r>
    </w:p>
    <w:p>
      <w:pPr>
        <w:ind w:firstLine="560" w:firstLineChars="200"/>
        <w:jc w:val="left"/>
        <w:rPr>
          <w:rFonts w:hint="eastAsia" w:ascii="Times New Roman" w:hAnsi="Times New Roman" w:cs="Times New Roman"/>
          <w:color w:val="0000FF"/>
          <w:sz w:val="28"/>
          <w:szCs w:val="28"/>
          <w:highlight w:val="none"/>
          <w:lang w:eastAsia="zh-CN" w:bidi="th-TH"/>
        </w:rPr>
      </w:pPr>
      <w:r>
        <w:rPr>
          <w:rFonts w:hint="eastAsia" w:ascii="Times New Roman" w:hAnsi="Times New Roman" w:cs="Times New Roman"/>
          <w:color w:val="0000FF"/>
          <w:sz w:val="28"/>
          <w:szCs w:val="28"/>
          <w:highlight w:val="none"/>
          <w:lang w:eastAsia="zh-CN" w:bidi="th-TH"/>
        </w:rPr>
        <w:t>（</w:t>
      </w:r>
      <w:r>
        <w:rPr>
          <w:rFonts w:hint="eastAsia" w:ascii="Times New Roman" w:hAnsi="Times New Roman" w:cs="Times New Roman"/>
          <w:color w:val="0000FF"/>
          <w:sz w:val="28"/>
          <w:szCs w:val="28"/>
          <w:highlight w:val="none"/>
          <w:lang w:val="en-US" w:eastAsia="zh-CN" w:bidi="th-TH"/>
        </w:rPr>
        <w:t>3</w:t>
      </w:r>
      <w:r>
        <w:rPr>
          <w:rFonts w:hint="eastAsia" w:ascii="Times New Roman" w:hAnsi="Times New Roman" w:cs="Times New Roman"/>
          <w:color w:val="0000FF"/>
          <w:sz w:val="28"/>
          <w:szCs w:val="28"/>
          <w:highlight w:val="none"/>
          <w:lang w:eastAsia="zh-CN" w:bidi="th-TH"/>
        </w:rPr>
        <w:t>）《</w:t>
      </w:r>
      <w:r>
        <w:rPr>
          <w:rFonts w:hint="eastAsia" w:ascii="Times New Roman" w:hAnsi="Times New Roman" w:cs="Times New Roman"/>
          <w:color w:val="0000FF"/>
          <w:sz w:val="28"/>
          <w:szCs w:val="28"/>
          <w:highlight w:val="none"/>
          <w:lang w:val="en-US" w:eastAsia="zh-CN" w:bidi="th-TH"/>
        </w:rPr>
        <w:t>建筑防火通用规范</w:t>
      </w:r>
      <w:r>
        <w:rPr>
          <w:rFonts w:hint="eastAsia" w:ascii="Times New Roman" w:hAnsi="Times New Roman" w:cs="Times New Roman"/>
          <w:color w:val="0000FF"/>
          <w:sz w:val="28"/>
          <w:szCs w:val="28"/>
          <w:highlight w:val="none"/>
          <w:lang w:eastAsia="zh-CN" w:bidi="th-TH"/>
        </w:rPr>
        <w:t>》</w:t>
      </w:r>
      <w:r>
        <w:rPr>
          <w:rFonts w:hint="eastAsia" w:ascii="Times New Roman" w:hAnsi="Times New Roman" w:cs="Times New Roman"/>
          <w:color w:val="0000FF"/>
          <w:sz w:val="28"/>
          <w:szCs w:val="28"/>
          <w:highlight w:val="none"/>
          <w:lang w:val="en-US" w:eastAsia="zh-CN" w:bidi="th-TH"/>
        </w:rPr>
        <w:t>GB55037-2022</w:t>
      </w:r>
    </w:p>
    <w:p>
      <w:pPr>
        <w:ind w:firstLine="560" w:firstLineChars="200"/>
        <w:jc w:val="left"/>
        <w:rPr>
          <w:rFonts w:hint="default" w:ascii="Times New Roman" w:hAnsi="Times New Roman" w:cs="Times New Roman"/>
          <w:color w:val="0000FF"/>
          <w:sz w:val="28"/>
          <w:szCs w:val="28"/>
          <w:highlight w:val="none"/>
          <w:lang w:val="en-US" w:eastAsia="zh-CN" w:bidi="th-TH"/>
        </w:rPr>
      </w:pPr>
      <w:r>
        <w:rPr>
          <w:rFonts w:hint="eastAsia" w:ascii="Times New Roman" w:hAnsi="Times New Roman" w:cs="Times New Roman"/>
          <w:color w:val="0000FF"/>
          <w:sz w:val="28"/>
          <w:szCs w:val="28"/>
          <w:highlight w:val="none"/>
          <w:lang w:eastAsia="zh-CN" w:bidi="th-TH"/>
        </w:rPr>
        <w:t>（</w:t>
      </w:r>
      <w:r>
        <w:rPr>
          <w:rFonts w:hint="eastAsia" w:ascii="Times New Roman" w:hAnsi="Times New Roman" w:cs="Times New Roman"/>
          <w:color w:val="0000FF"/>
          <w:sz w:val="28"/>
          <w:szCs w:val="28"/>
          <w:highlight w:val="none"/>
          <w:lang w:val="en-US" w:eastAsia="zh-CN" w:bidi="th-TH"/>
        </w:rPr>
        <w:t>4</w:t>
      </w:r>
      <w:r>
        <w:rPr>
          <w:rFonts w:hint="eastAsia" w:ascii="Times New Roman" w:hAnsi="Times New Roman" w:cs="Times New Roman"/>
          <w:color w:val="0000FF"/>
          <w:sz w:val="28"/>
          <w:szCs w:val="28"/>
          <w:highlight w:val="none"/>
          <w:lang w:eastAsia="zh-CN" w:bidi="th-TH"/>
        </w:rPr>
        <w:t>）《</w:t>
      </w:r>
      <w:r>
        <w:rPr>
          <w:rFonts w:hint="eastAsia" w:ascii="Times New Roman" w:hAnsi="Times New Roman" w:cs="Times New Roman"/>
          <w:color w:val="0000FF"/>
          <w:sz w:val="28"/>
          <w:szCs w:val="28"/>
          <w:highlight w:val="none"/>
          <w:lang w:val="en-US" w:eastAsia="zh-CN" w:bidi="th-TH"/>
        </w:rPr>
        <w:t>消防设施通用规范</w:t>
      </w:r>
      <w:r>
        <w:rPr>
          <w:rFonts w:hint="eastAsia" w:ascii="Times New Roman" w:hAnsi="Times New Roman" w:cs="Times New Roman"/>
          <w:color w:val="0000FF"/>
          <w:sz w:val="28"/>
          <w:szCs w:val="28"/>
          <w:highlight w:val="none"/>
          <w:lang w:eastAsia="zh-CN" w:bidi="th-TH"/>
        </w:rPr>
        <w:t>》</w:t>
      </w:r>
      <w:r>
        <w:rPr>
          <w:rFonts w:hint="eastAsia" w:ascii="Times New Roman" w:hAnsi="Times New Roman" w:cs="Times New Roman"/>
          <w:color w:val="0000FF"/>
          <w:sz w:val="28"/>
          <w:szCs w:val="28"/>
          <w:highlight w:val="none"/>
          <w:lang w:val="en-US" w:eastAsia="zh-CN" w:bidi="th-TH"/>
        </w:rPr>
        <w:t>GB55036-2022</w:t>
      </w:r>
    </w:p>
    <w:p>
      <w:pPr>
        <w:ind w:firstLine="560" w:firstLineChars="200"/>
        <w:jc w:val="left"/>
        <w:rPr>
          <w:rFonts w:ascii="Times New Roman" w:hAnsi="Times New Roman" w:cs="Times New Roman"/>
          <w:color w:val="0000FF"/>
          <w:sz w:val="28"/>
          <w:szCs w:val="28"/>
          <w:highlight w:val="none"/>
          <w:lang w:bidi="th-TH"/>
        </w:rPr>
      </w:pPr>
      <w:r>
        <w:rPr>
          <w:rFonts w:ascii="Times New Roman" w:hAnsi="Times New Roman" w:cs="Times New Roman"/>
          <w:color w:val="0000FF"/>
          <w:sz w:val="28"/>
          <w:szCs w:val="28"/>
          <w:highlight w:val="none"/>
          <w:lang w:bidi="th-TH"/>
        </w:rPr>
        <w:t>（</w:t>
      </w:r>
      <w:r>
        <w:rPr>
          <w:rFonts w:hint="eastAsia" w:ascii="Times New Roman" w:hAnsi="Times New Roman" w:cs="Times New Roman"/>
          <w:color w:val="0000FF"/>
          <w:sz w:val="28"/>
          <w:szCs w:val="28"/>
          <w:highlight w:val="none"/>
          <w:lang w:val="en-US" w:eastAsia="zh-CN" w:bidi="th-TH"/>
        </w:rPr>
        <w:t>5</w:t>
      </w:r>
      <w:r>
        <w:rPr>
          <w:rFonts w:ascii="Times New Roman" w:hAnsi="Times New Roman" w:cs="Times New Roman"/>
          <w:color w:val="0000FF"/>
          <w:sz w:val="28"/>
          <w:szCs w:val="28"/>
          <w:highlight w:val="none"/>
          <w:lang w:bidi="th-TH"/>
        </w:rPr>
        <w:t>）《城镇燃气设计规范》GB50028-2006（2020年版）</w:t>
      </w:r>
    </w:p>
    <w:p>
      <w:pPr>
        <w:ind w:firstLine="560" w:firstLineChars="200"/>
        <w:jc w:val="left"/>
        <w:rPr>
          <w:rFonts w:ascii="Times New Roman" w:hAnsi="Times New Roman" w:cs="Times New Roman"/>
          <w:color w:val="0000FF"/>
          <w:sz w:val="28"/>
          <w:szCs w:val="28"/>
          <w:highlight w:val="none"/>
          <w:lang w:bidi="th-TH"/>
        </w:rPr>
      </w:pPr>
      <w:r>
        <w:rPr>
          <w:rFonts w:ascii="Times New Roman" w:hAnsi="Times New Roman" w:cs="Times New Roman"/>
          <w:color w:val="0000FF"/>
          <w:sz w:val="28"/>
          <w:szCs w:val="28"/>
          <w:highlight w:val="none"/>
          <w:lang w:bidi="th-TH"/>
        </w:rPr>
        <w:t>（</w:t>
      </w:r>
      <w:r>
        <w:rPr>
          <w:rFonts w:hint="eastAsia" w:ascii="Times New Roman" w:hAnsi="Times New Roman" w:cs="Times New Roman"/>
          <w:color w:val="0000FF"/>
          <w:sz w:val="28"/>
          <w:szCs w:val="28"/>
          <w:highlight w:val="none"/>
          <w:lang w:val="en-US" w:eastAsia="zh-CN" w:bidi="th-TH"/>
        </w:rPr>
        <w:t>6</w:t>
      </w:r>
      <w:r>
        <w:rPr>
          <w:rFonts w:ascii="Times New Roman" w:hAnsi="Times New Roman" w:cs="Times New Roman"/>
          <w:color w:val="0000FF"/>
          <w:sz w:val="28"/>
          <w:szCs w:val="28"/>
          <w:highlight w:val="none"/>
          <w:lang w:bidi="th-TH"/>
        </w:rPr>
        <w:t>）《</w:t>
      </w:r>
      <w:bookmarkStart w:id="21" w:name="_Hlk99525989"/>
      <w:r>
        <w:rPr>
          <w:rFonts w:hint="eastAsia" w:ascii="Times New Roman" w:hAnsi="Times New Roman" w:cs="Times New Roman"/>
          <w:color w:val="0000FF"/>
          <w:sz w:val="28"/>
          <w:szCs w:val="28"/>
          <w:highlight w:val="none"/>
          <w:lang w:bidi="th-TH"/>
        </w:rPr>
        <w:t>燃气工程项目规范</w:t>
      </w:r>
      <w:bookmarkEnd w:id="21"/>
      <w:r>
        <w:rPr>
          <w:rFonts w:ascii="Times New Roman" w:hAnsi="Times New Roman" w:cs="Times New Roman"/>
          <w:color w:val="0000FF"/>
          <w:sz w:val="28"/>
          <w:szCs w:val="28"/>
          <w:highlight w:val="none"/>
          <w:lang w:bidi="th-TH"/>
        </w:rPr>
        <w:t>》GB55009-2021</w:t>
      </w:r>
    </w:p>
    <w:p>
      <w:pPr>
        <w:ind w:firstLine="560" w:firstLineChars="200"/>
        <w:jc w:val="left"/>
        <w:rPr>
          <w:rFonts w:ascii="Times New Roman" w:hAnsi="Times New Roman" w:cs="Times New Roman"/>
          <w:color w:val="0000FF"/>
          <w:sz w:val="28"/>
          <w:szCs w:val="28"/>
          <w:highlight w:val="none"/>
          <w:lang w:bidi="th-TH"/>
        </w:rPr>
      </w:pPr>
      <w:r>
        <w:rPr>
          <w:rFonts w:ascii="Times New Roman" w:hAnsi="Times New Roman" w:cs="Times New Roman"/>
          <w:color w:val="0000FF"/>
          <w:sz w:val="28"/>
          <w:szCs w:val="28"/>
          <w:highlight w:val="none"/>
          <w:lang w:bidi="th-TH"/>
        </w:rPr>
        <w:t>（</w:t>
      </w:r>
      <w:r>
        <w:rPr>
          <w:rFonts w:hint="eastAsia" w:ascii="Times New Roman" w:hAnsi="Times New Roman" w:cs="Times New Roman"/>
          <w:color w:val="0000FF"/>
          <w:sz w:val="28"/>
          <w:szCs w:val="28"/>
          <w:highlight w:val="none"/>
          <w:lang w:val="en-US" w:eastAsia="zh-CN" w:bidi="th-TH"/>
        </w:rPr>
        <w:t>7</w:t>
      </w:r>
      <w:r>
        <w:rPr>
          <w:rFonts w:ascii="Times New Roman" w:hAnsi="Times New Roman" w:cs="Times New Roman"/>
          <w:color w:val="0000FF"/>
          <w:sz w:val="28"/>
          <w:szCs w:val="28"/>
          <w:highlight w:val="none"/>
          <w:lang w:bidi="th-TH"/>
        </w:rPr>
        <w:t>）《石油天然气工程设计防火规范》GB50183-2004</w:t>
      </w:r>
    </w:p>
    <w:p>
      <w:pPr>
        <w:ind w:firstLine="560" w:firstLineChars="200"/>
        <w:jc w:val="left"/>
        <w:rPr>
          <w:rFonts w:ascii="Times New Roman" w:hAnsi="Times New Roman" w:cs="Times New Roman"/>
          <w:color w:val="0000FF"/>
          <w:sz w:val="28"/>
          <w:szCs w:val="28"/>
          <w:highlight w:val="none"/>
          <w:lang w:bidi="th-TH"/>
        </w:rPr>
      </w:pPr>
      <w:r>
        <w:rPr>
          <w:rFonts w:ascii="Times New Roman" w:hAnsi="Times New Roman" w:cs="Times New Roman"/>
          <w:color w:val="0000FF"/>
          <w:sz w:val="28"/>
          <w:szCs w:val="28"/>
          <w:highlight w:val="none"/>
          <w:lang w:bidi="th-TH"/>
        </w:rPr>
        <w:t>（</w:t>
      </w:r>
      <w:r>
        <w:rPr>
          <w:rFonts w:hint="eastAsia" w:ascii="Times New Roman" w:hAnsi="Times New Roman" w:cs="Times New Roman"/>
          <w:color w:val="0000FF"/>
          <w:sz w:val="28"/>
          <w:szCs w:val="28"/>
          <w:highlight w:val="none"/>
          <w:lang w:val="en-US" w:eastAsia="zh-CN" w:bidi="th-TH"/>
        </w:rPr>
        <w:t>8</w:t>
      </w:r>
      <w:r>
        <w:rPr>
          <w:rFonts w:ascii="Times New Roman" w:hAnsi="Times New Roman" w:cs="Times New Roman"/>
          <w:color w:val="0000FF"/>
          <w:sz w:val="28"/>
          <w:szCs w:val="28"/>
          <w:highlight w:val="none"/>
          <w:lang w:bidi="th-TH"/>
        </w:rPr>
        <w:t>）《输气管道工程设计规范》GB50251-2015</w:t>
      </w:r>
    </w:p>
    <w:p>
      <w:pPr>
        <w:ind w:firstLine="560" w:firstLineChars="200"/>
        <w:rPr>
          <w:rFonts w:ascii="Times New Roman" w:hAnsi="Times New Roman" w:cs="Times New Roman"/>
          <w:color w:val="0000FF"/>
          <w:sz w:val="28"/>
          <w:szCs w:val="28"/>
          <w:highlight w:val="none"/>
          <w:lang w:bidi="th-TH"/>
        </w:rPr>
      </w:pPr>
      <w:r>
        <w:rPr>
          <w:rFonts w:ascii="Times New Roman" w:hAnsi="Times New Roman" w:cs="Times New Roman"/>
          <w:color w:val="0000FF"/>
          <w:sz w:val="28"/>
          <w:szCs w:val="28"/>
          <w:highlight w:val="none"/>
          <w:lang w:bidi="th-TH"/>
        </w:rPr>
        <w:t>（</w:t>
      </w:r>
      <w:r>
        <w:rPr>
          <w:rFonts w:hint="eastAsia" w:ascii="Times New Roman" w:hAnsi="Times New Roman" w:cs="Times New Roman"/>
          <w:color w:val="0000FF"/>
          <w:sz w:val="28"/>
          <w:szCs w:val="28"/>
          <w:highlight w:val="none"/>
          <w:lang w:val="en-US" w:eastAsia="zh-CN" w:bidi="th-TH"/>
        </w:rPr>
        <w:t>9</w:t>
      </w:r>
      <w:r>
        <w:rPr>
          <w:rFonts w:ascii="Times New Roman" w:hAnsi="Times New Roman" w:cs="Times New Roman"/>
          <w:color w:val="0000FF"/>
          <w:sz w:val="28"/>
          <w:szCs w:val="28"/>
          <w:highlight w:val="none"/>
          <w:lang w:bidi="th-TH"/>
        </w:rPr>
        <w:t>）《压缩天然气供应站设计规范》GB51102-2016</w:t>
      </w:r>
    </w:p>
    <w:p>
      <w:pPr>
        <w:ind w:firstLine="560" w:firstLineChars="200"/>
        <w:rPr>
          <w:rFonts w:ascii="Times New Roman" w:hAnsi="Times New Roman" w:cs="Times New Roman"/>
          <w:color w:val="0000FF"/>
          <w:sz w:val="28"/>
          <w:szCs w:val="28"/>
          <w:highlight w:val="none"/>
          <w:lang w:bidi="th-TH"/>
        </w:rPr>
      </w:pPr>
      <w:r>
        <w:rPr>
          <w:rFonts w:ascii="Times New Roman" w:hAnsi="Times New Roman" w:cs="Times New Roman"/>
          <w:color w:val="0000FF"/>
          <w:sz w:val="28"/>
          <w:szCs w:val="28"/>
          <w:highlight w:val="none"/>
          <w:lang w:bidi="th-TH"/>
        </w:rPr>
        <w:t>（</w:t>
      </w:r>
      <w:r>
        <w:rPr>
          <w:rFonts w:hint="eastAsia" w:ascii="Times New Roman" w:hAnsi="Times New Roman" w:cs="Times New Roman"/>
          <w:color w:val="0000FF"/>
          <w:sz w:val="28"/>
          <w:szCs w:val="28"/>
          <w:highlight w:val="none"/>
          <w:lang w:val="en-US" w:eastAsia="zh-CN" w:bidi="th-TH"/>
        </w:rPr>
        <w:t>10</w:t>
      </w:r>
      <w:r>
        <w:rPr>
          <w:rFonts w:ascii="Times New Roman" w:hAnsi="Times New Roman" w:cs="Times New Roman"/>
          <w:color w:val="0000FF"/>
          <w:sz w:val="28"/>
          <w:szCs w:val="28"/>
          <w:highlight w:val="none"/>
          <w:lang w:bidi="th-TH"/>
        </w:rPr>
        <w:t>）《液化天然气（LNG）生产、储存和装运》GB/T20368-2006</w:t>
      </w:r>
    </w:p>
    <w:p>
      <w:pPr>
        <w:ind w:firstLine="560" w:firstLineChars="200"/>
        <w:rPr>
          <w:rFonts w:hint="eastAsia" w:ascii="Times New Roman" w:hAnsi="Times New Roman" w:cs="Times New Roman"/>
          <w:color w:val="0000FF"/>
          <w:sz w:val="28"/>
          <w:szCs w:val="28"/>
          <w:highlight w:val="none"/>
          <w:lang w:eastAsia="zh-CN" w:bidi="th-TH"/>
        </w:rPr>
      </w:pPr>
      <w:r>
        <w:rPr>
          <w:rFonts w:hint="eastAsia" w:ascii="Times New Roman" w:hAnsi="Times New Roman" w:cs="Times New Roman"/>
          <w:color w:val="0000FF"/>
          <w:sz w:val="28"/>
          <w:szCs w:val="28"/>
          <w:highlight w:val="none"/>
          <w:lang w:eastAsia="zh-CN" w:bidi="th-TH"/>
        </w:rPr>
        <w:t>（</w:t>
      </w:r>
      <w:r>
        <w:rPr>
          <w:rFonts w:hint="eastAsia" w:ascii="Times New Roman" w:hAnsi="Times New Roman" w:cs="Times New Roman"/>
          <w:color w:val="0000FF"/>
          <w:sz w:val="28"/>
          <w:szCs w:val="28"/>
          <w:highlight w:val="none"/>
          <w:lang w:val="en-US" w:eastAsia="zh-CN" w:bidi="th-TH"/>
        </w:rPr>
        <w:t>11</w:t>
      </w:r>
      <w:r>
        <w:rPr>
          <w:rFonts w:hint="eastAsia" w:ascii="Times New Roman" w:hAnsi="Times New Roman" w:cs="Times New Roman"/>
          <w:color w:val="0000FF"/>
          <w:sz w:val="28"/>
          <w:szCs w:val="28"/>
          <w:highlight w:val="none"/>
          <w:lang w:eastAsia="zh-CN" w:bidi="th-TH"/>
        </w:rPr>
        <w:t>）《城市工程管线综合规划规范》GB/T50289-2016</w:t>
      </w:r>
    </w:p>
    <w:p>
      <w:pPr>
        <w:ind w:firstLine="560" w:firstLineChars="200"/>
        <w:rPr>
          <w:rFonts w:hint="eastAsia" w:ascii="Times New Roman" w:hAnsi="Times New Roman" w:cs="Times New Roman"/>
          <w:color w:val="0000FF"/>
          <w:sz w:val="28"/>
          <w:szCs w:val="28"/>
          <w:highlight w:val="none"/>
          <w:lang w:val="en-US" w:eastAsia="zh-CN" w:bidi="th-TH"/>
        </w:rPr>
      </w:pPr>
      <w:r>
        <w:rPr>
          <w:rFonts w:hint="eastAsia" w:ascii="Times New Roman" w:hAnsi="Times New Roman" w:cs="Times New Roman"/>
          <w:color w:val="0000FF"/>
          <w:sz w:val="28"/>
          <w:szCs w:val="28"/>
          <w:highlight w:val="none"/>
          <w:lang w:eastAsia="zh-CN" w:bidi="th-TH"/>
        </w:rPr>
        <w:t>（</w:t>
      </w:r>
      <w:r>
        <w:rPr>
          <w:rFonts w:hint="eastAsia" w:ascii="Times New Roman" w:hAnsi="Times New Roman" w:cs="Times New Roman"/>
          <w:color w:val="0000FF"/>
          <w:sz w:val="28"/>
          <w:szCs w:val="28"/>
          <w:highlight w:val="none"/>
          <w:lang w:val="en-US" w:eastAsia="zh-CN" w:bidi="th-TH"/>
        </w:rPr>
        <w:t>12</w:t>
      </w:r>
      <w:r>
        <w:rPr>
          <w:rFonts w:hint="eastAsia" w:ascii="Times New Roman" w:hAnsi="Times New Roman" w:cs="Times New Roman"/>
          <w:color w:val="0000FF"/>
          <w:sz w:val="28"/>
          <w:szCs w:val="28"/>
          <w:highlight w:val="none"/>
          <w:lang w:eastAsia="zh-CN" w:bidi="th-TH"/>
        </w:rPr>
        <w:t>）《</w:t>
      </w:r>
      <w:r>
        <w:rPr>
          <w:rFonts w:hint="eastAsia" w:ascii="Times New Roman" w:hAnsi="Times New Roman" w:cs="Times New Roman"/>
          <w:color w:val="0000FF"/>
          <w:sz w:val="28"/>
          <w:szCs w:val="28"/>
          <w:highlight w:val="none"/>
          <w:lang w:val="en-US" w:eastAsia="zh-CN" w:bidi="th-TH"/>
        </w:rPr>
        <w:t>石油化工企业设计防火标准</w:t>
      </w:r>
      <w:r>
        <w:rPr>
          <w:rFonts w:hint="eastAsia" w:ascii="Times New Roman" w:hAnsi="Times New Roman" w:cs="Times New Roman"/>
          <w:color w:val="0000FF"/>
          <w:sz w:val="28"/>
          <w:szCs w:val="28"/>
          <w:highlight w:val="none"/>
          <w:lang w:eastAsia="zh-CN" w:bidi="th-TH"/>
        </w:rPr>
        <w:t>》</w:t>
      </w:r>
      <w:r>
        <w:rPr>
          <w:rFonts w:hint="eastAsia" w:ascii="Times New Roman" w:hAnsi="Times New Roman" w:cs="Times New Roman"/>
          <w:color w:val="0000FF"/>
          <w:sz w:val="28"/>
          <w:szCs w:val="28"/>
          <w:highlight w:val="none"/>
          <w:lang w:val="en-US" w:eastAsia="zh-CN" w:bidi="th-TH"/>
        </w:rPr>
        <w:t>GB50160-2008（2018年版）</w:t>
      </w:r>
    </w:p>
    <w:p>
      <w:pPr>
        <w:ind w:firstLine="560" w:firstLineChars="200"/>
        <w:rPr>
          <w:rFonts w:hint="eastAsia" w:ascii="Times New Roman" w:hAnsi="Times New Roman" w:cs="Times New Roman"/>
          <w:color w:val="0000FF"/>
          <w:sz w:val="28"/>
          <w:szCs w:val="28"/>
          <w:highlight w:val="none"/>
          <w:lang w:val="en-US" w:eastAsia="zh-CN" w:bidi="th-TH"/>
        </w:rPr>
      </w:pPr>
      <w:r>
        <w:rPr>
          <w:rFonts w:hint="eastAsia" w:ascii="Times New Roman" w:hAnsi="Times New Roman" w:cs="Times New Roman"/>
          <w:color w:val="0000FF"/>
          <w:sz w:val="28"/>
          <w:szCs w:val="28"/>
          <w:highlight w:val="none"/>
          <w:lang w:val="en-US" w:eastAsia="zh-CN" w:bidi="th-TH"/>
        </w:rPr>
        <w:t>（13）《化工园区公共管廊管理规程》GB/T36762-2018</w:t>
      </w:r>
    </w:p>
    <w:p>
      <w:pPr>
        <w:ind w:firstLine="560" w:firstLineChars="200"/>
        <w:rPr>
          <w:rFonts w:hint="default" w:ascii="Times New Roman" w:hAnsi="Times New Roman" w:cs="Times New Roman"/>
          <w:color w:val="auto"/>
          <w:sz w:val="28"/>
          <w:szCs w:val="28"/>
          <w:highlight w:val="none"/>
          <w:lang w:val="en-US" w:eastAsia="zh-CN" w:bidi="th-TH"/>
        </w:rPr>
      </w:pPr>
      <w:r>
        <w:rPr>
          <w:rFonts w:hint="eastAsia" w:ascii="Times New Roman" w:hAnsi="Times New Roman" w:cs="Times New Roman"/>
          <w:color w:val="0000FF"/>
          <w:sz w:val="28"/>
          <w:szCs w:val="28"/>
          <w:highlight w:val="none"/>
          <w:lang w:val="en-US" w:eastAsia="zh-CN" w:bidi="th-TH"/>
        </w:rPr>
        <w:t>（14）《埋地钢质管道阴极保护技术规范》GB/T21448-2017</w:t>
      </w:r>
    </w:p>
    <w:bookmarkEnd w:id="19"/>
    <w:p>
      <w:pPr>
        <w:pStyle w:val="3"/>
        <w:rPr>
          <w:color w:val="auto"/>
          <w:highlight w:val="none"/>
        </w:rPr>
      </w:pPr>
      <w:bookmarkStart w:id="22" w:name="_Toc7272"/>
      <w:r>
        <w:rPr>
          <w:color w:val="auto"/>
          <w:highlight w:val="none"/>
        </w:rPr>
        <w:t>第</w:t>
      </w:r>
      <w:r>
        <w:rPr>
          <w:rFonts w:hint="eastAsia"/>
          <w:color w:val="auto"/>
          <w:highlight w:val="none"/>
          <w:lang w:val="en-US" w:eastAsia="zh-CN"/>
        </w:rPr>
        <w:t>六</w:t>
      </w:r>
      <w:r>
        <w:rPr>
          <w:color w:val="auto"/>
          <w:highlight w:val="none"/>
        </w:rPr>
        <w:t>条：规划范围及期限</w:t>
      </w:r>
      <w:bookmarkEnd w:id="20"/>
      <w:bookmarkEnd w:id="22"/>
    </w:p>
    <w:p>
      <w:pPr>
        <w:spacing w:line="360" w:lineRule="auto"/>
        <w:ind w:firstLine="562" w:firstLineChars="200"/>
        <w:rPr>
          <w:rFonts w:ascii="Times New Roman" w:hAnsi="Times New Roman" w:eastAsia="宋体" w:cs="Times New Roman"/>
          <w:b/>
          <w:bCs/>
          <w:color w:val="auto"/>
          <w:sz w:val="28"/>
          <w:szCs w:val="28"/>
          <w:highlight w:val="none"/>
          <w:lang w:bidi="th-TH"/>
        </w:rPr>
      </w:pPr>
      <w:r>
        <w:rPr>
          <w:rFonts w:ascii="Times New Roman" w:hAnsi="Times New Roman" w:eastAsia="宋体" w:cs="Times New Roman"/>
          <w:b/>
          <w:bCs/>
          <w:color w:val="auto"/>
          <w:sz w:val="28"/>
          <w:szCs w:val="28"/>
          <w:highlight w:val="none"/>
          <w:lang w:bidi="th-TH"/>
        </w:rPr>
        <w:t>1、规划范围</w:t>
      </w:r>
    </w:p>
    <w:p>
      <w:pPr>
        <w:spacing w:line="360" w:lineRule="auto"/>
        <w:ind w:firstLine="560" w:firstLineChars="200"/>
        <w:rPr>
          <w:rFonts w:hint="default" w:ascii="Times New Roman" w:hAnsi="Times New Roman" w:cs="Times New Roman" w:eastAsiaTheme="minorEastAsia"/>
          <w:color w:val="auto"/>
          <w:sz w:val="28"/>
          <w:szCs w:val="28"/>
          <w:highlight w:val="none"/>
          <w:lang w:val="en-US" w:eastAsia="zh-CN"/>
        </w:rPr>
      </w:pPr>
      <w:r>
        <w:rPr>
          <w:rFonts w:hint="eastAsia" w:ascii="Times New Roman" w:hAnsi="Times New Roman" w:cs="Times New Roman"/>
          <w:color w:val="auto"/>
          <w:sz w:val="28"/>
          <w:szCs w:val="28"/>
          <w:highlight w:val="none"/>
        </w:rPr>
        <w:t>本次规划范围为抚顺高新区管委会管辖范围，东、南至兰山工业园区边界，西至青草沟，北至石化公司建成区北侧边界，包括石化建成区、兰山工业园区、再生资源产业园区、张甸工业园区、碾盘工业园区、海新工业园区、青草工业园区及各园区连接区域，总面积27.57平方公里</w:t>
      </w:r>
      <w:r>
        <w:rPr>
          <w:rFonts w:hint="eastAsia" w:ascii="Times New Roman" w:hAnsi="Times New Roman" w:cs="Times New Roman"/>
          <w:color w:val="auto"/>
          <w:sz w:val="28"/>
          <w:szCs w:val="28"/>
          <w:highlight w:val="none"/>
          <w:lang w:eastAsia="zh-CN"/>
        </w:rPr>
        <w:t>。</w:t>
      </w:r>
    </w:p>
    <w:p>
      <w:pPr>
        <w:ind w:firstLine="562" w:firstLineChars="200"/>
        <w:rPr>
          <w:rFonts w:ascii="Times New Roman" w:hAnsi="Times New Roman"/>
          <w:b/>
          <w:bCs/>
          <w:color w:val="auto"/>
          <w:sz w:val="28"/>
          <w:szCs w:val="28"/>
          <w:highlight w:val="none"/>
        </w:rPr>
      </w:pPr>
      <w:r>
        <w:rPr>
          <w:rFonts w:hint="eastAsia" w:ascii="Times New Roman" w:hAnsi="Times New Roman"/>
          <w:b/>
          <w:bCs/>
          <w:color w:val="auto"/>
          <w:sz w:val="28"/>
          <w:szCs w:val="28"/>
          <w:highlight w:val="none"/>
        </w:rPr>
        <w:t>2、规划期限</w:t>
      </w:r>
    </w:p>
    <w:p>
      <w:pPr>
        <w:spacing w:line="360" w:lineRule="auto"/>
        <w:ind w:firstLine="560" w:firstLineChars="200"/>
        <w:rPr>
          <w:rFonts w:hint="eastAsia" w:ascii="Times New Roman" w:hAnsi="Times New Roman" w:cs="Times New Roman"/>
          <w:color w:val="0000FF"/>
          <w:sz w:val="28"/>
          <w:szCs w:val="28"/>
          <w:highlight w:val="none"/>
          <w:lang w:val="en-US" w:eastAsia="zh-CN"/>
        </w:rPr>
      </w:pPr>
      <w:bookmarkStart w:id="23" w:name="_Toc18091"/>
      <w:r>
        <w:rPr>
          <w:rFonts w:hint="eastAsia" w:ascii="Times New Roman" w:hAnsi="Times New Roman" w:cs="Times New Roman"/>
          <w:color w:val="auto"/>
          <w:sz w:val="28"/>
          <w:szCs w:val="28"/>
          <w:highlight w:val="none"/>
        </w:rPr>
        <w:t>基期年为2</w:t>
      </w:r>
      <w:r>
        <w:rPr>
          <w:rFonts w:ascii="Times New Roman" w:hAnsi="Times New Roman" w:cs="Times New Roman"/>
          <w:color w:val="auto"/>
          <w:sz w:val="28"/>
          <w:szCs w:val="28"/>
          <w:highlight w:val="none"/>
        </w:rPr>
        <w:t>02</w:t>
      </w:r>
      <w:r>
        <w:rPr>
          <w:rFonts w:hint="eastAsia" w:ascii="Times New Roman" w:hAnsi="Times New Roman" w:cs="Times New Roman"/>
          <w:color w:val="auto"/>
          <w:sz w:val="28"/>
          <w:szCs w:val="28"/>
          <w:highlight w:val="none"/>
          <w:lang w:val="en-US" w:eastAsia="zh-CN"/>
        </w:rPr>
        <w:t>2</w:t>
      </w:r>
      <w:r>
        <w:rPr>
          <w:rFonts w:hint="eastAsia" w:ascii="Times New Roman" w:hAnsi="Times New Roman" w:cs="Times New Roman"/>
          <w:color w:val="auto"/>
          <w:sz w:val="28"/>
          <w:szCs w:val="28"/>
          <w:highlight w:val="none"/>
        </w:rPr>
        <w:t>年，本次</w:t>
      </w:r>
      <w:r>
        <w:rPr>
          <w:rFonts w:ascii="Times New Roman" w:hAnsi="Times New Roman" w:cs="Times New Roman"/>
          <w:color w:val="auto"/>
          <w:sz w:val="28"/>
          <w:szCs w:val="28"/>
          <w:highlight w:val="none"/>
        </w:rPr>
        <w:t>规划期限</w:t>
      </w:r>
      <w:r>
        <w:rPr>
          <w:rFonts w:hint="eastAsia" w:ascii="Times New Roman" w:hAnsi="Times New Roman" w:cs="Times New Roman"/>
          <w:color w:val="auto"/>
          <w:sz w:val="28"/>
          <w:szCs w:val="28"/>
          <w:highlight w:val="none"/>
        </w:rPr>
        <w:t>为</w:t>
      </w:r>
      <w:r>
        <w:rPr>
          <w:rFonts w:ascii="Times New Roman" w:hAnsi="Times New Roman" w:cs="Times New Roman"/>
          <w:color w:val="auto"/>
          <w:sz w:val="28"/>
          <w:szCs w:val="28"/>
          <w:highlight w:val="none"/>
        </w:rPr>
        <w:t>202</w:t>
      </w:r>
      <w:r>
        <w:rPr>
          <w:rFonts w:hint="eastAsia" w:ascii="Times New Roman" w:hAnsi="Times New Roman" w:cs="Times New Roman"/>
          <w:color w:val="auto"/>
          <w:sz w:val="28"/>
          <w:szCs w:val="28"/>
          <w:highlight w:val="none"/>
          <w:lang w:val="en-US" w:eastAsia="zh-CN"/>
        </w:rPr>
        <w:t>3</w:t>
      </w:r>
      <w:r>
        <w:rPr>
          <w:rFonts w:ascii="Times New Roman" w:hAnsi="Times New Roman" w:cs="Times New Roman"/>
          <w:color w:val="auto"/>
          <w:sz w:val="28"/>
          <w:szCs w:val="28"/>
          <w:highlight w:val="none"/>
        </w:rPr>
        <w:t>-</w:t>
      </w:r>
      <w:r>
        <w:rPr>
          <w:rFonts w:hint="eastAsia" w:ascii="Times New Roman" w:hAnsi="Times New Roman" w:cs="Times New Roman"/>
          <w:color w:val="auto"/>
          <w:sz w:val="28"/>
          <w:szCs w:val="28"/>
          <w:highlight w:val="none"/>
          <w:lang w:eastAsia="zh-CN"/>
        </w:rPr>
        <w:t>203</w:t>
      </w:r>
      <w:r>
        <w:rPr>
          <w:rFonts w:hint="eastAsia" w:ascii="Times New Roman" w:hAnsi="Times New Roman" w:cs="Times New Roman"/>
          <w:color w:val="auto"/>
          <w:sz w:val="28"/>
          <w:szCs w:val="28"/>
          <w:highlight w:val="none"/>
          <w:lang w:val="en-US" w:eastAsia="zh-CN"/>
        </w:rPr>
        <w:t>5</w:t>
      </w:r>
      <w:r>
        <w:rPr>
          <w:rFonts w:ascii="Times New Roman" w:hAnsi="Times New Roman" w:cs="Times New Roman"/>
          <w:color w:val="auto"/>
          <w:sz w:val="28"/>
          <w:szCs w:val="28"/>
          <w:highlight w:val="none"/>
        </w:rPr>
        <w:t>年</w:t>
      </w:r>
      <w:r>
        <w:rPr>
          <w:rFonts w:hint="eastAsia" w:ascii="Times New Roman" w:hAnsi="Times New Roman" w:cs="Times New Roman"/>
          <w:color w:val="auto"/>
          <w:sz w:val="28"/>
          <w:szCs w:val="28"/>
          <w:highlight w:val="none"/>
        </w:rPr>
        <w:t>。</w:t>
      </w:r>
    </w:p>
    <w:p>
      <w:pPr>
        <w:spacing w:line="360" w:lineRule="auto"/>
        <w:ind w:firstLine="560" w:firstLineChars="200"/>
        <w:rPr>
          <w:rFonts w:hint="eastAsia" w:ascii="Times New Roman" w:hAnsi="Times New Roman" w:cs="Times New Roman"/>
          <w:color w:val="0000FF"/>
          <w:sz w:val="28"/>
          <w:szCs w:val="28"/>
          <w:highlight w:val="none"/>
          <w:lang w:val="en-US" w:eastAsia="zh-CN"/>
        </w:rPr>
      </w:pPr>
      <w:r>
        <w:rPr>
          <w:rFonts w:hint="eastAsia" w:ascii="Times New Roman" w:hAnsi="Times New Roman" w:cs="Times New Roman"/>
          <w:color w:val="0000FF"/>
          <w:sz w:val="28"/>
          <w:szCs w:val="28"/>
          <w:highlight w:val="none"/>
          <w:lang w:val="en-US" w:eastAsia="zh-CN"/>
        </w:rPr>
        <w:t>近期规划期限为2023-2025年，中期规划期限为2026-2030年，远期规划期限为2031-2035年。</w:t>
      </w:r>
    </w:p>
    <w:p>
      <w:pPr>
        <w:pStyle w:val="3"/>
        <w:rPr>
          <w:color w:val="auto"/>
          <w:highlight w:val="none"/>
        </w:rPr>
      </w:pPr>
      <w:bookmarkStart w:id="24" w:name="_Toc2345"/>
      <w:r>
        <w:rPr>
          <w:color w:val="auto"/>
          <w:highlight w:val="none"/>
        </w:rPr>
        <w:t>第</w:t>
      </w:r>
      <w:r>
        <w:rPr>
          <w:rFonts w:hint="eastAsia"/>
          <w:color w:val="auto"/>
          <w:highlight w:val="none"/>
          <w:lang w:val="en-US" w:eastAsia="zh-CN"/>
        </w:rPr>
        <w:t>七</w:t>
      </w:r>
      <w:r>
        <w:rPr>
          <w:color w:val="auto"/>
          <w:highlight w:val="none"/>
        </w:rPr>
        <w:t>条：规划目标</w:t>
      </w:r>
      <w:bookmarkEnd w:id="23"/>
      <w:bookmarkEnd w:id="24"/>
    </w:p>
    <w:p>
      <w:pPr>
        <w:ind w:firstLine="562" w:firstLineChars="200"/>
        <w:rPr>
          <w:rFonts w:ascii="Times New Roman" w:hAnsi="Times New Roman" w:eastAsia="宋体" w:cs="Times New Roman"/>
          <w:b/>
          <w:bCs/>
          <w:color w:val="auto"/>
          <w:sz w:val="28"/>
          <w:szCs w:val="21"/>
          <w:highlight w:val="none"/>
        </w:rPr>
      </w:pPr>
      <w:bookmarkStart w:id="25" w:name="_Toc23794"/>
      <w:r>
        <w:rPr>
          <w:rFonts w:hint="eastAsia" w:ascii="Times New Roman" w:hAnsi="Times New Roman" w:eastAsia="宋体" w:cs="Times New Roman"/>
          <w:b/>
          <w:bCs/>
          <w:color w:val="auto"/>
          <w:sz w:val="28"/>
          <w:szCs w:val="21"/>
          <w:highlight w:val="none"/>
        </w:rPr>
        <w:t>1、宏观目标</w:t>
      </w:r>
    </w:p>
    <w:p>
      <w:pPr>
        <w:ind w:firstLine="562" w:firstLineChars="200"/>
        <w:rPr>
          <w:rFonts w:ascii="Times New Roman" w:hAnsi="Times New Roman"/>
          <w:color w:val="auto"/>
          <w:sz w:val="28"/>
          <w:szCs w:val="28"/>
          <w:highlight w:val="none"/>
          <w:lang w:bidi="th-TH"/>
        </w:rPr>
      </w:pPr>
      <w:bookmarkStart w:id="26" w:name="_Hlk99526156"/>
      <w:r>
        <w:rPr>
          <w:rFonts w:hint="eastAsia" w:ascii="Times New Roman" w:hAnsi="Times New Roman"/>
          <w:b/>
          <w:color w:val="auto"/>
          <w:sz w:val="28"/>
          <w:szCs w:val="28"/>
          <w:highlight w:val="none"/>
          <w:lang w:eastAsia="zh-CN" w:bidi="th-TH"/>
        </w:rPr>
        <w:t>（</w:t>
      </w:r>
      <w:r>
        <w:rPr>
          <w:rFonts w:hint="eastAsia" w:ascii="Times New Roman" w:hAnsi="Times New Roman"/>
          <w:b/>
          <w:color w:val="auto"/>
          <w:sz w:val="28"/>
          <w:szCs w:val="28"/>
          <w:highlight w:val="none"/>
          <w:lang w:val="en-US" w:eastAsia="zh-CN" w:bidi="th-TH"/>
        </w:rPr>
        <w:t>1</w:t>
      </w:r>
      <w:r>
        <w:rPr>
          <w:rFonts w:hint="eastAsia" w:ascii="Times New Roman" w:hAnsi="Times New Roman"/>
          <w:b/>
          <w:color w:val="auto"/>
          <w:sz w:val="28"/>
          <w:szCs w:val="28"/>
          <w:highlight w:val="none"/>
          <w:lang w:eastAsia="zh-CN" w:bidi="th-TH"/>
        </w:rPr>
        <w:t>）</w:t>
      </w:r>
      <w:r>
        <w:rPr>
          <w:rFonts w:ascii="Times New Roman" w:hAnsi="Times New Roman"/>
          <w:b/>
          <w:color w:val="auto"/>
          <w:sz w:val="28"/>
          <w:szCs w:val="28"/>
          <w:highlight w:val="none"/>
          <w:lang w:bidi="th-TH"/>
        </w:rPr>
        <w:t>绿色发展：</w:t>
      </w:r>
      <w:r>
        <w:rPr>
          <w:rFonts w:ascii="Times New Roman" w:hAnsi="Times New Roman"/>
          <w:color w:val="auto"/>
          <w:sz w:val="28"/>
          <w:szCs w:val="28"/>
          <w:highlight w:val="none"/>
          <w:lang w:bidi="th-TH"/>
        </w:rPr>
        <w:t>习近平总书记指出：坚持绿色发展是发展观的一场深刻革命。走向生态文明新时代，建设美丽中国，是实现中华民族伟大复兴的中国梦的重要内容。坚持将扩大天然气利用规模作为能源供给侧结构性改革、转变能源利用的主要方式，使天然气成为改善能源结构和推动低碳经济发展的助推器。</w:t>
      </w:r>
    </w:p>
    <w:p>
      <w:pPr>
        <w:ind w:firstLine="562" w:firstLineChars="200"/>
        <w:jc w:val="left"/>
        <w:rPr>
          <w:rFonts w:ascii="Times New Roman" w:hAnsi="Times New Roman"/>
          <w:b/>
          <w:color w:val="auto"/>
          <w:sz w:val="28"/>
          <w:szCs w:val="28"/>
          <w:highlight w:val="none"/>
          <w:lang w:bidi="th-TH"/>
        </w:rPr>
      </w:pPr>
      <w:r>
        <w:rPr>
          <w:rFonts w:hint="eastAsia" w:ascii="Times New Roman" w:hAnsi="Times New Roman"/>
          <w:b/>
          <w:color w:val="auto"/>
          <w:sz w:val="28"/>
          <w:szCs w:val="28"/>
          <w:highlight w:val="none"/>
          <w:lang w:eastAsia="zh-CN" w:bidi="th-TH"/>
        </w:rPr>
        <w:t>（</w:t>
      </w:r>
      <w:r>
        <w:rPr>
          <w:rFonts w:hint="eastAsia" w:ascii="Times New Roman" w:hAnsi="Times New Roman"/>
          <w:b/>
          <w:color w:val="auto"/>
          <w:sz w:val="28"/>
          <w:szCs w:val="28"/>
          <w:highlight w:val="none"/>
          <w:lang w:val="en-US" w:eastAsia="zh-CN" w:bidi="th-TH"/>
        </w:rPr>
        <w:t>2</w:t>
      </w:r>
      <w:r>
        <w:rPr>
          <w:rFonts w:hint="eastAsia" w:ascii="Times New Roman" w:hAnsi="Times New Roman"/>
          <w:b/>
          <w:color w:val="auto"/>
          <w:sz w:val="28"/>
          <w:szCs w:val="28"/>
          <w:highlight w:val="none"/>
          <w:lang w:eastAsia="zh-CN" w:bidi="th-TH"/>
        </w:rPr>
        <w:t>）</w:t>
      </w:r>
      <w:r>
        <w:rPr>
          <w:rFonts w:ascii="Times New Roman" w:hAnsi="Times New Roman"/>
          <w:b/>
          <w:color w:val="auto"/>
          <w:sz w:val="28"/>
          <w:szCs w:val="28"/>
          <w:highlight w:val="none"/>
          <w:lang w:bidi="th-TH"/>
        </w:rPr>
        <w:t>科学发展：</w:t>
      </w:r>
      <w:r>
        <w:rPr>
          <w:rFonts w:ascii="Times New Roman" w:hAnsi="Times New Roman"/>
          <w:color w:val="0000FF"/>
          <w:sz w:val="28"/>
          <w:szCs w:val="28"/>
          <w:highlight w:val="none"/>
          <w:lang w:bidi="th-TH"/>
        </w:rPr>
        <w:t>紧密结合国家油气体制改革，充分释放市场化动力</w:t>
      </w:r>
      <w:r>
        <w:rPr>
          <w:rFonts w:ascii="Times New Roman" w:hAnsi="Times New Roman"/>
          <w:b/>
          <w:color w:val="0000FF"/>
          <w:sz w:val="28"/>
          <w:szCs w:val="28"/>
          <w:highlight w:val="none"/>
          <w:lang w:bidi="th-TH"/>
        </w:rPr>
        <w:t>，</w:t>
      </w:r>
      <w:r>
        <w:rPr>
          <w:rFonts w:ascii="Times New Roman" w:hAnsi="Times New Roman"/>
          <w:color w:val="0000FF"/>
          <w:sz w:val="28"/>
          <w:szCs w:val="28"/>
          <w:highlight w:val="none"/>
          <w:lang w:bidi="th-TH"/>
        </w:rPr>
        <w:t>以国家</w:t>
      </w:r>
      <w:r>
        <w:rPr>
          <w:rFonts w:hint="eastAsia" w:ascii="Times New Roman" w:hAnsi="Times New Roman"/>
          <w:color w:val="0000FF"/>
          <w:sz w:val="28"/>
          <w:szCs w:val="28"/>
          <w:highlight w:val="none"/>
          <w:lang w:bidi="th-TH"/>
        </w:rPr>
        <w:t>天然气利用管理办法</w:t>
      </w:r>
      <w:r>
        <w:rPr>
          <w:rFonts w:ascii="Times New Roman" w:hAnsi="Times New Roman"/>
          <w:color w:val="0000FF"/>
          <w:sz w:val="28"/>
          <w:szCs w:val="28"/>
          <w:highlight w:val="none"/>
          <w:lang w:bidi="th-TH"/>
        </w:rPr>
        <w:t>为主导，提倡节能减排，以环境保护为优先，充分发挥天然气的</w:t>
      </w:r>
      <w:r>
        <w:rPr>
          <w:rFonts w:hint="eastAsia" w:ascii="Times New Roman" w:hAnsi="Times New Roman"/>
          <w:color w:val="0000FF"/>
          <w:sz w:val="28"/>
          <w:szCs w:val="28"/>
          <w:highlight w:val="none"/>
          <w:lang w:bidi="th-TH"/>
        </w:rPr>
        <w:t>“</w:t>
      </w:r>
      <w:r>
        <w:rPr>
          <w:rFonts w:ascii="Times New Roman" w:hAnsi="Times New Roman"/>
          <w:color w:val="0000FF"/>
          <w:sz w:val="28"/>
          <w:szCs w:val="28"/>
          <w:highlight w:val="none"/>
          <w:lang w:bidi="th-TH"/>
        </w:rPr>
        <w:t>清洁性</w:t>
      </w:r>
      <w:r>
        <w:rPr>
          <w:rFonts w:hint="eastAsia" w:ascii="Times New Roman" w:hAnsi="Times New Roman"/>
          <w:color w:val="0000FF"/>
          <w:sz w:val="28"/>
          <w:szCs w:val="28"/>
          <w:highlight w:val="none"/>
          <w:lang w:bidi="th-TH"/>
        </w:rPr>
        <w:t>”</w:t>
      </w:r>
      <w:r>
        <w:rPr>
          <w:rFonts w:ascii="Times New Roman" w:hAnsi="Times New Roman"/>
          <w:color w:val="0000FF"/>
          <w:sz w:val="28"/>
          <w:szCs w:val="28"/>
          <w:highlight w:val="none"/>
          <w:lang w:bidi="th-TH"/>
        </w:rPr>
        <w:t>和</w:t>
      </w:r>
      <w:r>
        <w:rPr>
          <w:rFonts w:hint="eastAsia" w:ascii="Times New Roman" w:hAnsi="Times New Roman"/>
          <w:color w:val="0000FF"/>
          <w:sz w:val="28"/>
          <w:szCs w:val="28"/>
          <w:highlight w:val="none"/>
          <w:lang w:bidi="th-TH"/>
        </w:rPr>
        <w:t>“</w:t>
      </w:r>
      <w:r>
        <w:rPr>
          <w:rFonts w:ascii="Times New Roman" w:hAnsi="Times New Roman"/>
          <w:color w:val="0000FF"/>
          <w:sz w:val="28"/>
          <w:szCs w:val="28"/>
          <w:highlight w:val="none"/>
          <w:lang w:bidi="th-TH"/>
        </w:rPr>
        <w:t>高效性</w:t>
      </w:r>
      <w:r>
        <w:rPr>
          <w:rFonts w:hint="eastAsia" w:ascii="Times New Roman" w:hAnsi="Times New Roman"/>
          <w:color w:val="0000FF"/>
          <w:sz w:val="28"/>
          <w:szCs w:val="28"/>
          <w:highlight w:val="none"/>
          <w:lang w:bidi="th-TH"/>
        </w:rPr>
        <w:t>”</w:t>
      </w:r>
      <w:r>
        <w:rPr>
          <w:rFonts w:ascii="Times New Roman" w:hAnsi="Times New Roman"/>
          <w:color w:val="0000FF"/>
          <w:sz w:val="28"/>
          <w:szCs w:val="28"/>
          <w:highlight w:val="none"/>
          <w:lang w:bidi="th-TH"/>
        </w:rPr>
        <w:t>。</w:t>
      </w:r>
    </w:p>
    <w:p>
      <w:pPr>
        <w:ind w:firstLine="562" w:firstLineChars="200"/>
        <w:jc w:val="left"/>
        <w:rPr>
          <w:rFonts w:ascii="Times New Roman" w:hAnsi="Times New Roman"/>
          <w:color w:val="auto"/>
          <w:sz w:val="28"/>
          <w:szCs w:val="28"/>
          <w:highlight w:val="none"/>
          <w:lang w:bidi="th-TH"/>
        </w:rPr>
      </w:pPr>
      <w:r>
        <w:rPr>
          <w:rFonts w:hint="eastAsia" w:ascii="Times New Roman" w:hAnsi="Times New Roman"/>
          <w:b/>
          <w:color w:val="auto"/>
          <w:sz w:val="28"/>
          <w:szCs w:val="28"/>
          <w:highlight w:val="none"/>
          <w:lang w:eastAsia="zh-CN" w:bidi="th-TH"/>
        </w:rPr>
        <w:t>（</w:t>
      </w:r>
      <w:r>
        <w:rPr>
          <w:rFonts w:hint="eastAsia" w:ascii="Times New Roman" w:hAnsi="Times New Roman"/>
          <w:b/>
          <w:color w:val="auto"/>
          <w:sz w:val="28"/>
          <w:szCs w:val="28"/>
          <w:highlight w:val="none"/>
          <w:lang w:val="en-US" w:eastAsia="zh-CN" w:bidi="th-TH"/>
        </w:rPr>
        <w:t>3</w:t>
      </w:r>
      <w:r>
        <w:rPr>
          <w:rFonts w:hint="eastAsia" w:ascii="Times New Roman" w:hAnsi="Times New Roman"/>
          <w:b/>
          <w:color w:val="auto"/>
          <w:sz w:val="28"/>
          <w:szCs w:val="28"/>
          <w:highlight w:val="none"/>
          <w:lang w:eastAsia="zh-CN" w:bidi="th-TH"/>
        </w:rPr>
        <w:t>）</w:t>
      </w:r>
      <w:r>
        <w:rPr>
          <w:rFonts w:ascii="Times New Roman" w:hAnsi="Times New Roman"/>
          <w:b/>
          <w:color w:val="auto"/>
          <w:sz w:val="28"/>
          <w:szCs w:val="28"/>
          <w:highlight w:val="none"/>
          <w:lang w:bidi="th-TH"/>
        </w:rPr>
        <w:t>稳定发展：</w:t>
      </w:r>
      <w:r>
        <w:rPr>
          <w:rFonts w:ascii="Times New Roman" w:hAnsi="Times New Roman"/>
          <w:color w:val="auto"/>
          <w:sz w:val="28"/>
          <w:szCs w:val="28"/>
          <w:highlight w:val="none"/>
          <w:lang w:bidi="th-TH"/>
        </w:rPr>
        <w:t>积极引进新气源，实现全市多气源供应格局。充分利用现有燃气设施，进一步优化燃气设施布局，构建安全可靠、布局合理、全面覆盖的天然气管网系统。协调推进城镇管网建设，使气源结构更合理、管网更优化。</w:t>
      </w:r>
    </w:p>
    <w:p>
      <w:pPr>
        <w:ind w:firstLine="550" w:firstLineChars="196"/>
        <w:jc w:val="left"/>
        <w:rPr>
          <w:rFonts w:ascii="Times New Roman" w:hAnsi="Times New Roman"/>
          <w:color w:val="auto"/>
          <w:sz w:val="28"/>
          <w:szCs w:val="28"/>
          <w:highlight w:val="none"/>
          <w:lang w:bidi="th-TH"/>
        </w:rPr>
      </w:pPr>
      <w:r>
        <w:rPr>
          <w:rFonts w:hint="eastAsia" w:ascii="Times New Roman" w:hAnsi="Times New Roman"/>
          <w:b/>
          <w:color w:val="auto"/>
          <w:sz w:val="28"/>
          <w:szCs w:val="28"/>
          <w:highlight w:val="none"/>
          <w:lang w:eastAsia="zh-CN" w:bidi="th-TH"/>
        </w:rPr>
        <w:t>（</w:t>
      </w:r>
      <w:r>
        <w:rPr>
          <w:rFonts w:hint="eastAsia" w:ascii="Times New Roman" w:hAnsi="Times New Roman"/>
          <w:b/>
          <w:color w:val="auto"/>
          <w:sz w:val="28"/>
          <w:szCs w:val="28"/>
          <w:highlight w:val="none"/>
          <w:lang w:val="en-US" w:eastAsia="zh-CN" w:bidi="th-TH"/>
        </w:rPr>
        <w:t>4</w:t>
      </w:r>
      <w:r>
        <w:rPr>
          <w:rFonts w:hint="eastAsia" w:ascii="Times New Roman" w:hAnsi="Times New Roman"/>
          <w:b/>
          <w:color w:val="auto"/>
          <w:sz w:val="28"/>
          <w:szCs w:val="28"/>
          <w:highlight w:val="none"/>
          <w:lang w:eastAsia="zh-CN" w:bidi="th-TH"/>
        </w:rPr>
        <w:t>）</w:t>
      </w:r>
      <w:r>
        <w:rPr>
          <w:rFonts w:ascii="Times New Roman" w:hAnsi="Times New Roman"/>
          <w:b/>
          <w:color w:val="auto"/>
          <w:sz w:val="28"/>
          <w:szCs w:val="28"/>
          <w:highlight w:val="none"/>
          <w:lang w:bidi="th-TH"/>
        </w:rPr>
        <w:t>安全发展：</w:t>
      </w:r>
      <w:r>
        <w:rPr>
          <w:rFonts w:ascii="Times New Roman" w:hAnsi="Times New Roman"/>
          <w:color w:val="auto"/>
          <w:sz w:val="28"/>
          <w:szCs w:val="28"/>
          <w:highlight w:val="none"/>
          <w:lang w:bidi="th-TH"/>
        </w:rPr>
        <w:t>牢固树立</w:t>
      </w:r>
      <w:r>
        <w:rPr>
          <w:rFonts w:hint="eastAsia" w:ascii="Times New Roman" w:hAnsi="Times New Roman"/>
          <w:color w:val="auto"/>
          <w:sz w:val="28"/>
          <w:szCs w:val="28"/>
          <w:highlight w:val="none"/>
          <w:lang w:bidi="th-TH"/>
        </w:rPr>
        <w:t>“</w:t>
      </w:r>
      <w:r>
        <w:rPr>
          <w:rFonts w:ascii="Times New Roman" w:hAnsi="Times New Roman"/>
          <w:color w:val="auto"/>
          <w:sz w:val="28"/>
          <w:szCs w:val="28"/>
          <w:highlight w:val="none"/>
          <w:lang w:bidi="th-TH"/>
        </w:rPr>
        <w:t>安全第一</w:t>
      </w:r>
      <w:r>
        <w:rPr>
          <w:rFonts w:hint="eastAsia" w:ascii="Times New Roman" w:hAnsi="Times New Roman"/>
          <w:color w:val="auto"/>
          <w:sz w:val="28"/>
          <w:szCs w:val="28"/>
          <w:highlight w:val="none"/>
          <w:lang w:bidi="th-TH"/>
        </w:rPr>
        <w:t>”</w:t>
      </w:r>
      <w:r>
        <w:rPr>
          <w:rFonts w:ascii="Times New Roman" w:hAnsi="Times New Roman"/>
          <w:color w:val="auto"/>
          <w:sz w:val="28"/>
          <w:szCs w:val="28"/>
          <w:highlight w:val="none"/>
          <w:lang w:bidi="th-TH"/>
        </w:rPr>
        <w:t>的意识，以保障人民群众生命和财产安全为根本。燃气供应的安全可靠性与社会生产和人民生活息息相关。加快构建多元、均衡的供应体系，完善输配网络体系以及本质安全体系。</w:t>
      </w:r>
    </w:p>
    <w:p>
      <w:pPr>
        <w:ind w:firstLine="562" w:firstLineChars="200"/>
        <w:rPr>
          <w:rFonts w:ascii="Times New Roman" w:hAnsi="Times New Roman"/>
          <w:color w:val="auto"/>
          <w:sz w:val="28"/>
          <w:szCs w:val="28"/>
          <w:highlight w:val="none"/>
          <w:lang w:bidi="th-TH"/>
        </w:rPr>
      </w:pPr>
      <w:r>
        <w:rPr>
          <w:rFonts w:hint="eastAsia" w:ascii="Times New Roman" w:hAnsi="Times New Roman"/>
          <w:b/>
          <w:color w:val="auto"/>
          <w:sz w:val="28"/>
          <w:szCs w:val="28"/>
          <w:highlight w:val="none"/>
          <w:lang w:eastAsia="zh-CN" w:bidi="th-TH"/>
        </w:rPr>
        <w:t>（</w:t>
      </w:r>
      <w:r>
        <w:rPr>
          <w:rFonts w:hint="eastAsia" w:ascii="Times New Roman" w:hAnsi="Times New Roman"/>
          <w:b/>
          <w:color w:val="auto"/>
          <w:sz w:val="28"/>
          <w:szCs w:val="28"/>
          <w:highlight w:val="none"/>
          <w:lang w:val="en-US" w:eastAsia="zh-CN" w:bidi="th-TH"/>
        </w:rPr>
        <w:t>5</w:t>
      </w:r>
      <w:r>
        <w:rPr>
          <w:rFonts w:hint="eastAsia" w:ascii="Times New Roman" w:hAnsi="Times New Roman"/>
          <w:b/>
          <w:color w:val="auto"/>
          <w:sz w:val="28"/>
          <w:szCs w:val="28"/>
          <w:highlight w:val="none"/>
          <w:lang w:eastAsia="zh-CN" w:bidi="th-TH"/>
        </w:rPr>
        <w:t>）</w:t>
      </w:r>
      <w:r>
        <w:rPr>
          <w:rFonts w:ascii="Times New Roman" w:hAnsi="Times New Roman"/>
          <w:b/>
          <w:color w:val="auto"/>
          <w:sz w:val="28"/>
          <w:szCs w:val="28"/>
          <w:highlight w:val="none"/>
          <w:lang w:bidi="th-TH"/>
        </w:rPr>
        <w:t>智慧发展：</w:t>
      </w:r>
      <w:r>
        <w:rPr>
          <w:rFonts w:ascii="Times New Roman" w:hAnsi="Times New Roman"/>
          <w:color w:val="auto"/>
          <w:sz w:val="28"/>
          <w:szCs w:val="28"/>
          <w:highlight w:val="none"/>
          <w:lang w:bidi="th-TH"/>
        </w:rPr>
        <w:t>在智慧城市的大背景下，积极进行智慧燃气建设，统筹应用和资源配置，推进信息技术广泛运用，加快业务智能化转型。探索面向云计算、大数据、物联网与新一代信息技术在燃气生产、经营、服务等场景的落地应用。打造横向协调、纵向贯通、技术领先，基于物联网、大数据、云计算的数字化的智慧燃气平台。</w:t>
      </w:r>
    </w:p>
    <w:bookmarkEnd w:id="26"/>
    <w:p>
      <w:pPr>
        <w:ind w:firstLine="562" w:firstLineChars="200"/>
        <w:rPr>
          <w:rFonts w:ascii="Times New Roman" w:hAnsi="Times New Roman" w:cs="Times New Roman"/>
          <w:b/>
          <w:bCs/>
          <w:color w:val="auto"/>
          <w:sz w:val="28"/>
          <w:szCs w:val="28"/>
          <w:highlight w:val="none"/>
        </w:rPr>
      </w:pPr>
      <w:r>
        <w:rPr>
          <w:rFonts w:hint="eastAsia" w:ascii="Times New Roman" w:hAnsi="Times New Roman" w:cs="Times New Roman"/>
          <w:b/>
          <w:bCs/>
          <w:color w:val="auto"/>
          <w:sz w:val="28"/>
          <w:szCs w:val="28"/>
          <w:highlight w:val="none"/>
        </w:rPr>
        <w:t>2、具体目标</w:t>
      </w:r>
    </w:p>
    <w:p>
      <w:pPr>
        <w:ind w:firstLine="562" w:firstLineChars="200"/>
        <w:rPr>
          <w:rFonts w:hint="eastAsia" w:ascii="Times New Roman" w:hAnsi="Times New Roman" w:eastAsia="宋体" w:cs="Times New Roman"/>
          <w:color w:val="0000FF"/>
          <w:sz w:val="28"/>
          <w:szCs w:val="28"/>
          <w:highlight w:val="none"/>
          <w:lang w:val="en-US" w:eastAsia="zh-CN"/>
        </w:rPr>
      </w:pPr>
      <w:bookmarkStart w:id="27" w:name="_Hlk99526202"/>
      <w:r>
        <w:rPr>
          <w:rFonts w:hint="eastAsia" w:ascii="Times New Roman" w:hAnsi="Times New Roman"/>
          <w:b/>
          <w:color w:val="auto"/>
          <w:sz w:val="28"/>
          <w:szCs w:val="28"/>
          <w:highlight w:val="none"/>
          <w:lang w:eastAsia="zh-CN" w:bidi="th-TH"/>
        </w:rPr>
        <w:t>（</w:t>
      </w:r>
      <w:r>
        <w:rPr>
          <w:rFonts w:hint="eastAsia" w:ascii="Times New Roman" w:hAnsi="Times New Roman"/>
          <w:b/>
          <w:color w:val="auto"/>
          <w:sz w:val="28"/>
          <w:szCs w:val="28"/>
          <w:highlight w:val="none"/>
          <w:lang w:val="en-US" w:eastAsia="zh-CN" w:bidi="th-TH"/>
        </w:rPr>
        <w:t>1</w:t>
      </w:r>
      <w:r>
        <w:rPr>
          <w:rFonts w:hint="eastAsia" w:ascii="Times New Roman" w:hAnsi="Times New Roman"/>
          <w:b/>
          <w:color w:val="auto"/>
          <w:sz w:val="28"/>
          <w:szCs w:val="28"/>
          <w:highlight w:val="none"/>
          <w:lang w:eastAsia="zh-CN" w:bidi="th-TH"/>
        </w:rPr>
        <w:t>）</w:t>
      </w:r>
      <w:r>
        <w:rPr>
          <w:rFonts w:ascii="Times New Roman" w:hAnsi="Times New Roman"/>
          <w:b/>
          <w:color w:val="auto"/>
          <w:sz w:val="28"/>
          <w:szCs w:val="28"/>
          <w:highlight w:val="none"/>
          <w:lang w:bidi="th-TH"/>
        </w:rPr>
        <w:t>气源建设：</w:t>
      </w:r>
      <w:r>
        <w:rPr>
          <w:rFonts w:hint="eastAsia" w:ascii="Times New Roman" w:hAnsi="Times New Roman" w:eastAsia="宋体" w:cs="Times New Roman"/>
          <w:color w:val="0000FF"/>
          <w:sz w:val="28"/>
          <w:szCs w:val="28"/>
          <w:highlight w:val="none"/>
          <w:lang w:eastAsia="zh-CN"/>
        </w:rPr>
        <w:t>抚顺高新技术产业开发区</w:t>
      </w:r>
      <w:r>
        <w:rPr>
          <w:rFonts w:hint="eastAsia" w:ascii="Times New Roman" w:hAnsi="Times New Roman" w:eastAsia="宋体" w:cs="Times New Roman"/>
          <w:color w:val="0000FF"/>
          <w:sz w:val="28"/>
          <w:szCs w:val="28"/>
          <w:highlight w:val="none"/>
          <w:lang w:val="en-US" w:eastAsia="zh-CN"/>
        </w:rPr>
        <w:t>以中俄东线管道</w:t>
      </w:r>
      <w:r>
        <w:rPr>
          <w:rFonts w:hint="eastAsia" w:ascii="Times New Roman" w:hAnsi="Times New Roman" w:eastAsia="宋体" w:cs="Times New Roman"/>
          <w:color w:val="0000FF"/>
          <w:sz w:val="28"/>
          <w:szCs w:val="28"/>
          <w:highlight w:val="none"/>
        </w:rPr>
        <w:t>天然气</w:t>
      </w:r>
      <w:r>
        <w:rPr>
          <w:rFonts w:hint="eastAsia" w:ascii="Times New Roman" w:hAnsi="Times New Roman" w:eastAsia="宋体" w:cs="Times New Roman"/>
          <w:color w:val="0000FF"/>
          <w:sz w:val="28"/>
          <w:szCs w:val="28"/>
          <w:highlight w:val="none"/>
          <w:lang w:val="en-US" w:eastAsia="zh-CN"/>
        </w:rPr>
        <w:t>为主，压缩天然气（CNG）和液化天然气（LNG）作为备用气源，盘锦储气库作为应急气源。</w:t>
      </w:r>
    </w:p>
    <w:p>
      <w:pPr>
        <w:ind w:firstLine="562" w:firstLineChars="200"/>
        <w:rPr>
          <w:rFonts w:hint="eastAsia" w:ascii="Times New Roman" w:hAnsi="Times New Roman"/>
          <w:color w:val="auto"/>
          <w:sz w:val="28"/>
          <w:szCs w:val="28"/>
          <w:highlight w:val="none"/>
          <w:vertAlign w:val="baseline"/>
          <w:lang w:val="en-US" w:eastAsia="zh-CN" w:bidi="th-TH"/>
        </w:rPr>
      </w:pPr>
      <w:r>
        <w:rPr>
          <w:rFonts w:hint="eastAsia" w:ascii="Times New Roman" w:hAnsi="Times New Roman"/>
          <w:b/>
          <w:color w:val="auto"/>
          <w:sz w:val="28"/>
          <w:szCs w:val="28"/>
          <w:highlight w:val="none"/>
          <w:lang w:eastAsia="zh-CN" w:bidi="th-TH"/>
        </w:rPr>
        <w:t>（</w:t>
      </w:r>
      <w:r>
        <w:rPr>
          <w:rFonts w:hint="eastAsia" w:ascii="Times New Roman" w:hAnsi="Times New Roman"/>
          <w:b/>
          <w:color w:val="auto"/>
          <w:sz w:val="28"/>
          <w:szCs w:val="28"/>
          <w:highlight w:val="none"/>
          <w:lang w:val="en-US" w:eastAsia="zh-CN" w:bidi="th-TH"/>
        </w:rPr>
        <w:t>2</w:t>
      </w:r>
      <w:r>
        <w:rPr>
          <w:rFonts w:hint="eastAsia" w:ascii="Times New Roman" w:hAnsi="Times New Roman"/>
          <w:b/>
          <w:color w:val="auto"/>
          <w:sz w:val="28"/>
          <w:szCs w:val="28"/>
          <w:highlight w:val="none"/>
          <w:lang w:eastAsia="zh-CN" w:bidi="th-TH"/>
        </w:rPr>
        <w:t>）</w:t>
      </w:r>
      <w:r>
        <w:rPr>
          <w:rFonts w:ascii="Times New Roman" w:hAnsi="Times New Roman"/>
          <w:b/>
          <w:color w:val="auto"/>
          <w:sz w:val="28"/>
          <w:szCs w:val="28"/>
          <w:highlight w:val="none"/>
          <w:lang w:bidi="th-TH"/>
        </w:rPr>
        <w:t>天然气供应目标：</w:t>
      </w:r>
      <w:r>
        <w:rPr>
          <w:rFonts w:ascii="Times New Roman" w:hAnsi="Times New Roman"/>
          <w:color w:val="0000FF"/>
          <w:sz w:val="28"/>
          <w:szCs w:val="28"/>
          <w:highlight w:val="none"/>
          <w:lang w:bidi="th-TH"/>
        </w:rPr>
        <w:t>至</w:t>
      </w:r>
      <w:r>
        <w:rPr>
          <w:rFonts w:hint="eastAsia" w:ascii="Times New Roman" w:hAnsi="Times New Roman"/>
          <w:color w:val="0000FF"/>
          <w:sz w:val="28"/>
          <w:szCs w:val="28"/>
          <w:highlight w:val="none"/>
          <w:lang w:val="en-US" w:eastAsia="zh-CN" w:bidi="th-TH"/>
        </w:rPr>
        <w:t>近期</w:t>
      </w:r>
      <w:r>
        <w:rPr>
          <w:rFonts w:hint="eastAsia" w:ascii="Times New Roman" w:hAnsi="Times New Roman"/>
          <w:color w:val="0000FF"/>
          <w:sz w:val="28"/>
          <w:szCs w:val="28"/>
          <w:highlight w:val="none"/>
          <w:lang w:bidi="th-TH"/>
        </w:rPr>
        <w:t>规划期</w:t>
      </w:r>
      <w:r>
        <w:rPr>
          <w:rFonts w:ascii="Times New Roman" w:hAnsi="Times New Roman"/>
          <w:color w:val="0000FF"/>
          <w:sz w:val="28"/>
          <w:szCs w:val="28"/>
          <w:highlight w:val="none"/>
          <w:lang w:bidi="th-TH"/>
        </w:rPr>
        <w:t>末</w:t>
      </w:r>
      <w:r>
        <w:rPr>
          <w:rFonts w:hint="eastAsia" w:ascii="Times New Roman" w:hAnsi="Times New Roman"/>
          <w:color w:val="0000FF"/>
          <w:sz w:val="28"/>
          <w:szCs w:val="28"/>
          <w:highlight w:val="none"/>
          <w:lang w:bidi="th-TH"/>
        </w:rPr>
        <w:t>（20</w:t>
      </w:r>
      <w:r>
        <w:rPr>
          <w:rFonts w:hint="eastAsia" w:ascii="Times New Roman" w:hAnsi="Times New Roman"/>
          <w:color w:val="0000FF"/>
          <w:sz w:val="28"/>
          <w:szCs w:val="28"/>
          <w:highlight w:val="none"/>
          <w:lang w:val="en-US" w:eastAsia="zh-CN" w:bidi="th-TH"/>
        </w:rPr>
        <w:t>25</w:t>
      </w:r>
      <w:r>
        <w:rPr>
          <w:rFonts w:hint="eastAsia" w:ascii="Times New Roman" w:hAnsi="Times New Roman"/>
          <w:color w:val="0000FF"/>
          <w:sz w:val="28"/>
          <w:szCs w:val="28"/>
          <w:highlight w:val="none"/>
          <w:lang w:bidi="th-TH"/>
        </w:rPr>
        <w:t>年）</w:t>
      </w:r>
      <w:r>
        <w:rPr>
          <w:rFonts w:ascii="Times New Roman" w:hAnsi="Times New Roman"/>
          <w:color w:val="0000FF"/>
          <w:sz w:val="28"/>
          <w:szCs w:val="28"/>
          <w:highlight w:val="none"/>
          <w:lang w:bidi="th-TH"/>
        </w:rPr>
        <w:t>，</w:t>
      </w:r>
      <w:r>
        <w:rPr>
          <w:rFonts w:hint="eastAsia" w:ascii="Times New Roman" w:hAnsi="Times New Roman"/>
          <w:color w:val="0000FF"/>
          <w:sz w:val="28"/>
          <w:szCs w:val="28"/>
          <w:highlight w:val="none"/>
          <w:lang w:eastAsia="zh-CN" w:bidi="th-TH"/>
        </w:rPr>
        <w:t>抚顺高新技术产业开发区</w:t>
      </w:r>
      <w:r>
        <w:rPr>
          <w:rFonts w:hint="eastAsia" w:ascii="Times New Roman" w:hAnsi="Times New Roman"/>
          <w:color w:val="0000FF"/>
          <w:sz w:val="28"/>
          <w:szCs w:val="28"/>
          <w:highlight w:val="none"/>
          <w:lang w:val="en-US" w:eastAsia="zh-CN" w:bidi="th-TH"/>
        </w:rPr>
        <w:t>用气量为9274.30</w:t>
      </w:r>
      <w:r>
        <w:rPr>
          <w:rFonts w:hint="default" w:ascii="Arial" w:hAnsi="Arial" w:cs="Arial"/>
          <w:color w:val="0000FF"/>
          <w:sz w:val="28"/>
          <w:szCs w:val="28"/>
          <w:highlight w:val="none"/>
          <w:lang w:val="en-US" w:eastAsia="zh-CN" w:bidi="th-TH"/>
        </w:rPr>
        <w:t>×</w:t>
      </w:r>
      <w:r>
        <w:rPr>
          <w:rFonts w:hint="eastAsia" w:ascii="Times New Roman" w:hAnsi="Times New Roman"/>
          <w:color w:val="0000FF"/>
          <w:sz w:val="28"/>
          <w:szCs w:val="28"/>
          <w:highlight w:val="none"/>
          <w:lang w:val="en-US" w:eastAsia="zh-CN" w:bidi="th-TH"/>
        </w:rPr>
        <w:t>10</w:t>
      </w:r>
      <w:r>
        <w:rPr>
          <w:rFonts w:hint="eastAsia" w:ascii="Times New Roman" w:hAnsi="Times New Roman"/>
          <w:color w:val="0000FF"/>
          <w:sz w:val="28"/>
          <w:szCs w:val="28"/>
          <w:highlight w:val="none"/>
          <w:vertAlign w:val="superscript"/>
          <w:lang w:val="en-US" w:eastAsia="zh-CN" w:bidi="th-TH"/>
        </w:rPr>
        <w:t>8</w:t>
      </w:r>
      <w:r>
        <w:rPr>
          <w:rFonts w:hint="eastAsia" w:ascii="Times New Roman" w:hAnsi="Times New Roman"/>
          <w:color w:val="0000FF"/>
          <w:sz w:val="28"/>
          <w:szCs w:val="28"/>
          <w:highlight w:val="none"/>
          <w:lang w:val="en-US" w:eastAsia="zh-CN" w:bidi="th-TH"/>
        </w:rPr>
        <w:t>Nm</w:t>
      </w:r>
      <w:r>
        <w:rPr>
          <w:rFonts w:hint="eastAsia" w:ascii="Times New Roman" w:hAnsi="Times New Roman"/>
          <w:color w:val="0000FF"/>
          <w:sz w:val="28"/>
          <w:szCs w:val="28"/>
          <w:highlight w:val="none"/>
          <w:vertAlign w:val="superscript"/>
          <w:lang w:val="en-US" w:eastAsia="zh-CN" w:bidi="th-TH"/>
        </w:rPr>
        <w:t>3</w:t>
      </w:r>
      <w:r>
        <w:rPr>
          <w:rFonts w:hint="eastAsia" w:ascii="Times New Roman" w:hAnsi="Times New Roman"/>
          <w:color w:val="0000FF"/>
          <w:sz w:val="28"/>
          <w:szCs w:val="28"/>
          <w:highlight w:val="none"/>
          <w:lang w:val="en-US" w:eastAsia="zh-CN" w:bidi="th-TH"/>
        </w:rPr>
        <w:t>；</w:t>
      </w:r>
      <w:r>
        <w:rPr>
          <w:rFonts w:ascii="Times New Roman" w:hAnsi="Times New Roman"/>
          <w:color w:val="0000FF"/>
          <w:sz w:val="28"/>
          <w:szCs w:val="28"/>
          <w:highlight w:val="none"/>
          <w:lang w:bidi="th-TH"/>
        </w:rPr>
        <w:t>至</w:t>
      </w:r>
      <w:r>
        <w:rPr>
          <w:rFonts w:hint="eastAsia" w:ascii="Times New Roman" w:hAnsi="Times New Roman"/>
          <w:color w:val="0000FF"/>
          <w:sz w:val="28"/>
          <w:szCs w:val="28"/>
          <w:highlight w:val="none"/>
          <w:lang w:val="en-US" w:eastAsia="zh-CN" w:bidi="th-TH"/>
        </w:rPr>
        <w:t>中期</w:t>
      </w:r>
      <w:r>
        <w:rPr>
          <w:rFonts w:hint="eastAsia" w:ascii="Times New Roman" w:hAnsi="Times New Roman"/>
          <w:color w:val="0000FF"/>
          <w:sz w:val="28"/>
          <w:szCs w:val="28"/>
          <w:highlight w:val="none"/>
          <w:lang w:bidi="th-TH"/>
        </w:rPr>
        <w:t>规划期</w:t>
      </w:r>
      <w:r>
        <w:rPr>
          <w:rFonts w:ascii="Times New Roman" w:hAnsi="Times New Roman"/>
          <w:color w:val="0000FF"/>
          <w:sz w:val="28"/>
          <w:szCs w:val="28"/>
          <w:highlight w:val="none"/>
          <w:lang w:bidi="th-TH"/>
        </w:rPr>
        <w:t>末</w:t>
      </w:r>
      <w:r>
        <w:rPr>
          <w:rFonts w:hint="eastAsia" w:ascii="Times New Roman" w:hAnsi="Times New Roman"/>
          <w:color w:val="0000FF"/>
          <w:sz w:val="28"/>
          <w:szCs w:val="28"/>
          <w:highlight w:val="none"/>
          <w:lang w:bidi="th-TH"/>
        </w:rPr>
        <w:t>（</w:t>
      </w:r>
      <w:r>
        <w:rPr>
          <w:rFonts w:hint="eastAsia" w:ascii="Times New Roman" w:hAnsi="Times New Roman"/>
          <w:color w:val="0000FF"/>
          <w:sz w:val="28"/>
          <w:szCs w:val="28"/>
          <w:highlight w:val="none"/>
          <w:lang w:eastAsia="zh-CN" w:bidi="th-TH"/>
        </w:rPr>
        <w:t>203</w:t>
      </w:r>
      <w:r>
        <w:rPr>
          <w:rFonts w:hint="eastAsia" w:ascii="Times New Roman" w:hAnsi="Times New Roman"/>
          <w:color w:val="0000FF"/>
          <w:sz w:val="28"/>
          <w:szCs w:val="28"/>
          <w:highlight w:val="none"/>
          <w:lang w:val="en-US" w:eastAsia="zh-CN" w:bidi="th-TH"/>
        </w:rPr>
        <w:t>0</w:t>
      </w:r>
      <w:r>
        <w:rPr>
          <w:rFonts w:hint="eastAsia" w:ascii="Times New Roman" w:hAnsi="Times New Roman"/>
          <w:color w:val="0000FF"/>
          <w:sz w:val="28"/>
          <w:szCs w:val="28"/>
          <w:highlight w:val="none"/>
          <w:lang w:bidi="th-TH"/>
        </w:rPr>
        <w:t>年）</w:t>
      </w:r>
      <w:r>
        <w:rPr>
          <w:rFonts w:ascii="Times New Roman" w:hAnsi="Times New Roman"/>
          <w:color w:val="0000FF"/>
          <w:sz w:val="28"/>
          <w:szCs w:val="28"/>
          <w:highlight w:val="none"/>
          <w:lang w:bidi="th-TH"/>
        </w:rPr>
        <w:t>，</w:t>
      </w:r>
      <w:r>
        <w:rPr>
          <w:rFonts w:hint="eastAsia" w:ascii="Times New Roman" w:hAnsi="Times New Roman"/>
          <w:color w:val="0000FF"/>
          <w:sz w:val="28"/>
          <w:szCs w:val="28"/>
          <w:highlight w:val="none"/>
          <w:lang w:eastAsia="zh-CN" w:bidi="th-TH"/>
        </w:rPr>
        <w:t>抚顺高新技术产业开发区</w:t>
      </w:r>
      <w:r>
        <w:rPr>
          <w:rFonts w:hint="eastAsia" w:ascii="Times New Roman" w:hAnsi="Times New Roman"/>
          <w:color w:val="0000FF"/>
          <w:sz w:val="28"/>
          <w:szCs w:val="28"/>
          <w:highlight w:val="none"/>
          <w:lang w:val="en-US" w:eastAsia="zh-CN" w:bidi="th-TH"/>
        </w:rPr>
        <w:t>用气量为1.40</w:t>
      </w:r>
      <w:r>
        <w:rPr>
          <w:rFonts w:hint="default" w:ascii="Arial" w:hAnsi="Arial" w:cs="Arial"/>
          <w:color w:val="0000FF"/>
          <w:sz w:val="28"/>
          <w:szCs w:val="28"/>
          <w:highlight w:val="none"/>
          <w:lang w:val="en-US" w:eastAsia="zh-CN" w:bidi="th-TH"/>
        </w:rPr>
        <w:t>×</w:t>
      </w:r>
      <w:r>
        <w:rPr>
          <w:rFonts w:hint="eastAsia" w:ascii="Times New Roman" w:hAnsi="Times New Roman"/>
          <w:color w:val="0000FF"/>
          <w:sz w:val="28"/>
          <w:szCs w:val="28"/>
          <w:highlight w:val="none"/>
          <w:lang w:val="en-US" w:eastAsia="zh-CN" w:bidi="th-TH"/>
        </w:rPr>
        <w:t>10</w:t>
      </w:r>
      <w:r>
        <w:rPr>
          <w:rFonts w:hint="eastAsia" w:ascii="Times New Roman" w:hAnsi="Times New Roman"/>
          <w:color w:val="0000FF"/>
          <w:sz w:val="28"/>
          <w:szCs w:val="28"/>
          <w:highlight w:val="none"/>
          <w:vertAlign w:val="superscript"/>
          <w:lang w:val="en-US" w:eastAsia="zh-CN" w:bidi="th-TH"/>
        </w:rPr>
        <w:t>8</w:t>
      </w:r>
      <w:r>
        <w:rPr>
          <w:rFonts w:hint="eastAsia" w:ascii="Times New Roman" w:hAnsi="Times New Roman"/>
          <w:color w:val="0000FF"/>
          <w:sz w:val="28"/>
          <w:szCs w:val="28"/>
          <w:highlight w:val="none"/>
          <w:lang w:val="en-US" w:eastAsia="zh-CN" w:bidi="th-TH"/>
        </w:rPr>
        <w:t>Nm</w:t>
      </w:r>
      <w:r>
        <w:rPr>
          <w:rFonts w:hint="eastAsia" w:ascii="Times New Roman" w:hAnsi="Times New Roman"/>
          <w:color w:val="0000FF"/>
          <w:sz w:val="28"/>
          <w:szCs w:val="28"/>
          <w:highlight w:val="none"/>
          <w:vertAlign w:val="superscript"/>
          <w:lang w:val="en-US" w:eastAsia="zh-CN" w:bidi="th-TH"/>
        </w:rPr>
        <w:t>3</w:t>
      </w:r>
      <w:r>
        <w:rPr>
          <w:rFonts w:hint="eastAsia" w:ascii="Times New Roman" w:hAnsi="Times New Roman"/>
          <w:color w:val="0000FF"/>
          <w:sz w:val="28"/>
          <w:szCs w:val="28"/>
          <w:highlight w:val="none"/>
          <w:vertAlign w:val="baseline"/>
          <w:lang w:val="en-US" w:eastAsia="zh-CN" w:bidi="th-TH"/>
        </w:rPr>
        <w:t>；</w:t>
      </w:r>
      <w:r>
        <w:rPr>
          <w:rFonts w:ascii="Times New Roman" w:hAnsi="Times New Roman"/>
          <w:color w:val="0000FF"/>
          <w:sz w:val="28"/>
          <w:szCs w:val="28"/>
          <w:highlight w:val="none"/>
          <w:lang w:bidi="th-TH"/>
        </w:rPr>
        <w:t>至</w:t>
      </w:r>
      <w:r>
        <w:rPr>
          <w:rFonts w:hint="eastAsia" w:ascii="Times New Roman" w:hAnsi="Times New Roman"/>
          <w:color w:val="0000FF"/>
          <w:sz w:val="28"/>
          <w:szCs w:val="28"/>
          <w:highlight w:val="none"/>
          <w:lang w:val="en-US" w:eastAsia="zh-CN" w:bidi="th-TH"/>
        </w:rPr>
        <w:t>远期</w:t>
      </w:r>
      <w:r>
        <w:rPr>
          <w:rFonts w:hint="eastAsia" w:ascii="Times New Roman" w:hAnsi="Times New Roman"/>
          <w:color w:val="0000FF"/>
          <w:sz w:val="28"/>
          <w:szCs w:val="28"/>
          <w:highlight w:val="none"/>
          <w:lang w:bidi="th-TH"/>
        </w:rPr>
        <w:t>规划期</w:t>
      </w:r>
      <w:r>
        <w:rPr>
          <w:rFonts w:ascii="Times New Roman" w:hAnsi="Times New Roman"/>
          <w:color w:val="0000FF"/>
          <w:sz w:val="28"/>
          <w:szCs w:val="28"/>
          <w:highlight w:val="none"/>
          <w:lang w:bidi="th-TH"/>
        </w:rPr>
        <w:t>末</w:t>
      </w:r>
      <w:r>
        <w:rPr>
          <w:rFonts w:hint="eastAsia" w:ascii="Times New Roman" w:hAnsi="Times New Roman"/>
          <w:color w:val="0000FF"/>
          <w:sz w:val="28"/>
          <w:szCs w:val="28"/>
          <w:highlight w:val="none"/>
          <w:lang w:bidi="th-TH"/>
        </w:rPr>
        <w:t>（</w:t>
      </w:r>
      <w:r>
        <w:rPr>
          <w:rFonts w:hint="eastAsia" w:ascii="Times New Roman" w:hAnsi="Times New Roman"/>
          <w:color w:val="0000FF"/>
          <w:sz w:val="28"/>
          <w:szCs w:val="28"/>
          <w:highlight w:val="none"/>
          <w:lang w:eastAsia="zh-CN" w:bidi="th-TH"/>
        </w:rPr>
        <w:t>203</w:t>
      </w:r>
      <w:r>
        <w:rPr>
          <w:rFonts w:hint="eastAsia" w:ascii="Times New Roman" w:hAnsi="Times New Roman"/>
          <w:color w:val="0000FF"/>
          <w:sz w:val="28"/>
          <w:szCs w:val="28"/>
          <w:highlight w:val="none"/>
          <w:lang w:val="en-US" w:eastAsia="zh-CN" w:bidi="th-TH"/>
        </w:rPr>
        <w:t>5</w:t>
      </w:r>
      <w:r>
        <w:rPr>
          <w:rFonts w:hint="eastAsia" w:ascii="Times New Roman" w:hAnsi="Times New Roman"/>
          <w:color w:val="0000FF"/>
          <w:sz w:val="28"/>
          <w:szCs w:val="28"/>
          <w:highlight w:val="none"/>
          <w:lang w:bidi="th-TH"/>
        </w:rPr>
        <w:t>年）</w:t>
      </w:r>
      <w:r>
        <w:rPr>
          <w:rFonts w:ascii="Times New Roman" w:hAnsi="Times New Roman"/>
          <w:color w:val="0000FF"/>
          <w:sz w:val="28"/>
          <w:szCs w:val="28"/>
          <w:highlight w:val="none"/>
          <w:lang w:bidi="th-TH"/>
        </w:rPr>
        <w:t>，</w:t>
      </w:r>
      <w:r>
        <w:rPr>
          <w:rFonts w:hint="eastAsia" w:ascii="Times New Roman" w:hAnsi="Times New Roman"/>
          <w:color w:val="0000FF"/>
          <w:sz w:val="28"/>
          <w:szCs w:val="28"/>
          <w:highlight w:val="none"/>
          <w:lang w:eastAsia="zh-CN" w:bidi="th-TH"/>
        </w:rPr>
        <w:t>抚顺高新技术产业开发区</w:t>
      </w:r>
      <w:r>
        <w:rPr>
          <w:rFonts w:hint="eastAsia" w:ascii="Times New Roman" w:hAnsi="Times New Roman"/>
          <w:color w:val="0000FF"/>
          <w:sz w:val="28"/>
          <w:szCs w:val="28"/>
          <w:highlight w:val="none"/>
          <w:lang w:val="en-US" w:eastAsia="zh-CN" w:bidi="th-TH"/>
        </w:rPr>
        <w:t>用气量为1.68</w:t>
      </w:r>
      <w:r>
        <w:rPr>
          <w:rFonts w:hint="default" w:ascii="Arial" w:hAnsi="Arial" w:cs="Arial"/>
          <w:color w:val="0000FF"/>
          <w:sz w:val="28"/>
          <w:szCs w:val="28"/>
          <w:highlight w:val="none"/>
          <w:lang w:val="en-US" w:eastAsia="zh-CN" w:bidi="th-TH"/>
        </w:rPr>
        <w:t>×</w:t>
      </w:r>
      <w:r>
        <w:rPr>
          <w:rFonts w:hint="eastAsia" w:ascii="Times New Roman" w:hAnsi="Times New Roman"/>
          <w:color w:val="0000FF"/>
          <w:sz w:val="28"/>
          <w:szCs w:val="28"/>
          <w:highlight w:val="none"/>
          <w:lang w:val="en-US" w:eastAsia="zh-CN" w:bidi="th-TH"/>
        </w:rPr>
        <w:t>10</w:t>
      </w:r>
      <w:r>
        <w:rPr>
          <w:rFonts w:hint="eastAsia" w:ascii="Times New Roman" w:hAnsi="Times New Roman"/>
          <w:color w:val="0000FF"/>
          <w:sz w:val="28"/>
          <w:szCs w:val="28"/>
          <w:highlight w:val="none"/>
          <w:vertAlign w:val="superscript"/>
          <w:lang w:val="en-US" w:eastAsia="zh-CN" w:bidi="th-TH"/>
        </w:rPr>
        <w:t>8</w:t>
      </w:r>
      <w:r>
        <w:rPr>
          <w:rFonts w:hint="eastAsia" w:ascii="Times New Roman" w:hAnsi="Times New Roman"/>
          <w:color w:val="0000FF"/>
          <w:sz w:val="28"/>
          <w:szCs w:val="28"/>
          <w:highlight w:val="none"/>
          <w:lang w:val="en-US" w:eastAsia="zh-CN" w:bidi="th-TH"/>
        </w:rPr>
        <w:t>Nm</w:t>
      </w:r>
      <w:r>
        <w:rPr>
          <w:rFonts w:hint="eastAsia" w:ascii="Times New Roman" w:hAnsi="Times New Roman"/>
          <w:color w:val="0000FF"/>
          <w:sz w:val="28"/>
          <w:szCs w:val="28"/>
          <w:highlight w:val="none"/>
          <w:vertAlign w:val="superscript"/>
          <w:lang w:val="en-US" w:eastAsia="zh-CN" w:bidi="th-TH"/>
        </w:rPr>
        <w:t>3</w:t>
      </w:r>
      <w:r>
        <w:rPr>
          <w:rFonts w:hint="eastAsia" w:ascii="Times New Roman" w:hAnsi="Times New Roman"/>
          <w:color w:val="0000FF"/>
          <w:sz w:val="28"/>
          <w:szCs w:val="28"/>
          <w:highlight w:val="none"/>
          <w:vertAlign w:val="baseline"/>
          <w:lang w:val="en-US" w:eastAsia="zh-CN" w:bidi="th-TH"/>
        </w:rPr>
        <w:t>。</w:t>
      </w:r>
    </w:p>
    <w:p>
      <w:pPr>
        <w:ind w:firstLine="562" w:firstLineChars="200"/>
        <w:rPr>
          <w:rFonts w:ascii="Times New Roman" w:hAnsi="Times New Roman"/>
          <w:color w:val="auto"/>
          <w:sz w:val="28"/>
          <w:szCs w:val="28"/>
          <w:highlight w:val="none"/>
          <w:lang w:bidi="th-TH"/>
        </w:rPr>
      </w:pPr>
      <w:r>
        <w:rPr>
          <w:rFonts w:hint="eastAsia" w:ascii="Times New Roman" w:hAnsi="Times New Roman"/>
          <w:b/>
          <w:color w:val="auto"/>
          <w:sz w:val="28"/>
          <w:szCs w:val="28"/>
          <w:highlight w:val="none"/>
          <w:lang w:eastAsia="zh-CN" w:bidi="th-TH"/>
        </w:rPr>
        <w:t>（</w:t>
      </w:r>
      <w:r>
        <w:rPr>
          <w:rFonts w:hint="eastAsia" w:ascii="Times New Roman" w:hAnsi="Times New Roman"/>
          <w:b/>
          <w:color w:val="auto"/>
          <w:sz w:val="28"/>
          <w:szCs w:val="28"/>
          <w:highlight w:val="none"/>
          <w:lang w:val="en-US" w:eastAsia="zh-CN" w:bidi="th-TH"/>
        </w:rPr>
        <w:t>3</w:t>
      </w:r>
      <w:r>
        <w:rPr>
          <w:rFonts w:hint="eastAsia" w:ascii="Times New Roman" w:hAnsi="Times New Roman"/>
          <w:b/>
          <w:color w:val="auto"/>
          <w:sz w:val="28"/>
          <w:szCs w:val="28"/>
          <w:highlight w:val="none"/>
          <w:lang w:eastAsia="zh-CN" w:bidi="th-TH"/>
        </w:rPr>
        <w:t>）</w:t>
      </w:r>
      <w:r>
        <w:rPr>
          <w:rFonts w:hint="eastAsia" w:ascii="Times New Roman" w:hAnsi="Times New Roman"/>
          <w:b/>
          <w:color w:val="auto"/>
          <w:sz w:val="28"/>
          <w:szCs w:val="28"/>
          <w:highlight w:val="none"/>
          <w:lang w:bidi="th-TH"/>
        </w:rPr>
        <w:t>输配系统</w:t>
      </w:r>
      <w:r>
        <w:rPr>
          <w:rFonts w:ascii="Times New Roman" w:hAnsi="Times New Roman"/>
          <w:b/>
          <w:color w:val="auto"/>
          <w:sz w:val="28"/>
          <w:szCs w:val="28"/>
          <w:highlight w:val="none"/>
          <w:lang w:bidi="th-TH"/>
        </w:rPr>
        <w:t>建设目标：</w:t>
      </w:r>
      <w:bookmarkStart w:id="28" w:name="_Hlk99635712"/>
      <w:r>
        <w:rPr>
          <w:rFonts w:hint="eastAsia" w:ascii="Times New Roman" w:hAnsi="Times New Roman"/>
          <w:color w:val="auto"/>
          <w:sz w:val="28"/>
          <w:szCs w:val="28"/>
          <w:highlight w:val="none"/>
          <w:lang w:bidi="th-TH"/>
        </w:rPr>
        <w:t>“规划”</w:t>
      </w:r>
      <w:r>
        <w:rPr>
          <w:rFonts w:ascii="Times New Roman" w:hAnsi="Times New Roman"/>
          <w:color w:val="auto"/>
          <w:sz w:val="28"/>
          <w:szCs w:val="28"/>
          <w:highlight w:val="none"/>
          <w:lang w:bidi="th-TH"/>
        </w:rPr>
        <w:t>期间进一步扩大燃气管网覆盖范围，与</w:t>
      </w:r>
      <w:r>
        <w:rPr>
          <w:rFonts w:hint="eastAsia" w:ascii="Times New Roman" w:hAnsi="Times New Roman"/>
          <w:color w:val="auto"/>
          <w:sz w:val="28"/>
          <w:szCs w:val="28"/>
          <w:highlight w:val="none"/>
          <w:lang w:eastAsia="zh-CN" w:bidi="th-TH"/>
        </w:rPr>
        <w:t>抚顺高新技术产业开发区</w:t>
      </w:r>
      <w:r>
        <w:rPr>
          <w:rFonts w:hint="eastAsia" w:ascii="Times New Roman" w:hAnsi="Times New Roman"/>
          <w:color w:val="auto"/>
          <w:sz w:val="28"/>
          <w:szCs w:val="28"/>
          <w:highlight w:val="none"/>
          <w:lang w:val="en-US" w:eastAsia="zh-CN" w:bidi="th-TH"/>
        </w:rPr>
        <w:t>总体</w:t>
      </w:r>
      <w:r>
        <w:rPr>
          <w:rFonts w:ascii="Times New Roman" w:hAnsi="Times New Roman"/>
          <w:color w:val="auto"/>
          <w:sz w:val="28"/>
          <w:szCs w:val="28"/>
          <w:highlight w:val="none"/>
          <w:lang w:bidi="th-TH"/>
        </w:rPr>
        <w:t>规划需求相结合，有效提升基础设施配套能力</w:t>
      </w:r>
      <w:r>
        <w:rPr>
          <w:rFonts w:hint="eastAsia" w:ascii="Times New Roman" w:hAnsi="Times New Roman"/>
          <w:color w:val="auto"/>
          <w:sz w:val="28"/>
          <w:szCs w:val="28"/>
          <w:highlight w:val="none"/>
          <w:lang w:eastAsia="zh-CN" w:bidi="th-TH"/>
        </w:rPr>
        <w:t>，</w:t>
      </w:r>
      <w:r>
        <w:rPr>
          <w:rFonts w:ascii="Times New Roman" w:hAnsi="Times New Roman"/>
          <w:color w:val="auto"/>
          <w:sz w:val="28"/>
          <w:szCs w:val="28"/>
          <w:highlight w:val="none"/>
          <w:lang w:bidi="th-TH"/>
        </w:rPr>
        <w:t>完成</w:t>
      </w:r>
      <w:r>
        <w:rPr>
          <w:rFonts w:hint="eastAsia" w:ascii="Times New Roman" w:hAnsi="Times New Roman"/>
          <w:color w:val="auto"/>
          <w:sz w:val="28"/>
          <w:szCs w:val="28"/>
          <w:highlight w:val="none"/>
          <w:lang w:val="en-US" w:eastAsia="zh-CN" w:bidi="th-TH"/>
        </w:rPr>
        <w:t>次高压</w:t>
      </w:r>
      <w:r>
        <w:rPr>
          <w:rFonts w:hint="eastAsia" w:ascii="Times New Roman" w:hAnsi="Times New Roman"/>
          <w:color w:val="auto"/>
          <w:sz w:val="28"/>
          <w:szCs w:val="28"/>
          <w:highlight w:val="none"/>
          <w:lang w:bidi="th-TH"/>
        </w:rPr>
        <w:t>管道</w:t>
      </w:r>
      <w:r>
        <w:rPr>
          <w:rFonts w:hint="eastAsia" w:ascii="Times New Roman" w:hAnsi="Times New Roman"/>
          <w:color w:val="auto"/>
          <w:sz w:val="28"/>
          <w:szCs w:val="28"/>
          <w:highlight w:val="none"/>
          <w:lang w:val="en-US" w:eastAsia="zh-CN" w:bidi="th-TH"/>
        </w:rPr>
        <w:t>37.15</w:t>
      </w:r>
      <w:r>
        <w:rPr>
          <w:rFonts w:ascii="Times New Roman" w:hAnsi="Times New Roman"/>
          <w:color w:val="auto"/>
          <w:sz w:val="28"/>
          <w:szCs w:val="28"/>
          <w:highlight w:val="none"/>
          <w:lang w:bidi="th-TH"/>
        </w:rPr>
        <w:t>km</w:t>
      </w:r>
      <w:r>
        <w:rPr>
          <w:rFonts w:hint="eastAsia" w:ascii="Times New Roman" w:hAnsi="Times New Roman"/>
          <w:color w:val="auto"/>
          <w:sz w:val="28"/>
          <w:szCs w:val="28"/>
          <w:highlight w:val="none"/>
          <w:lang w:eastAsia="zh-CN" w:bidi="th-TH"/>
        </w:rPr>
        <w:t>，</w:t>
      </w:r>
      <w:r>
        <w:rPr>
          <w:rFonts w:hint="eastAsia" w:ascii="Times New Roman" w:hAnsi="Times New Roman"/>
          <w:color w:val="auto"/>
          <w:sz w:val="28"/>
          <w:szCs w:val="28"/>
          <w:highlight w:val="none"/>
          <w:lang w:val="en-US" w:eastAsia="zh-CN" w:bidi="th-TH"/>
        </w:rPr>
        <w:t>中压管道5.50km，规划建设CNG减压站和次高压站合建站1座、高中压调压站1座，新建LNG储配站1座。</w:t>
      </w:r>
    </w:p>
    <w:bookmarkEnd w:id="28"/>
    <w:p>
      <w:pPr>
        <w:ind w:firstLine="562" w:firstLineChars="200"/>
        <w:rPr>
          <w:rFonts w:ascii="Times New Roman" w:hAnsi="Times New Roman"/>
          <w:color w:val="auto"/>
          <w:sz w:val="28"/>
          <w:szCs w:val="28"/>
          <w:highlight w:val="none"/>
          <w:lang w:bidi="th-TH"/>
        </w:rPr>
      </w:pPr>
      <w:r>
        <w:rPr>
          <w:rFonts w:hint="eastAsia" w:ascii="Times New Roman" w:hAnsi="Times New Roman"/>
          <w:b/>
          <w:color w:val="auto"/>
          <w:sz w:val="28"/>
          <w:szCs w:val="28"/>
          <w:highlight w:val="none"/>
          <w:lang w:eastAsia="zh-CN" w:bidi="th-TH"/>
        </w:rPr>
        <w:t>（</w:t>
      </w:r>
      <w:r>
        <w:rPr>
          <w:rFonts w:hint="eastAsia" w:ascii="Times New Roman" w:hAnsi="Times New Roman"/>
          <w:b/>
          <w:color w:val="auto"/>
          <w:sz w:val="28"/>
          <w:szCs w:val="28"/>
          <w:highlight w:val="none"/>
          <w:lang w:val="en-US" w:eastAsia="zh-CN" w:bidi="th-TH"/>
        </w:rPr>
        <w:t>4</w:t>
      </w:r>
      <w:r>
        <w:rPr>
          <w:rFonts w:hint="eastAsia" w:ascii="Times New Roman" w:hAnsi="Times New Roman"/>
          <w:b/>
          <w:color w:val="auto"/>
          <w:sz w:val="28"/>
          <w:szCs w:val="28"/>
          <w:highlight w:val="none"/>
          <w:lang w:eastAsia="zh-CN" w:bidi="th-TH"/>
        </w:rPr>
        <w:t>）</w:t>
      </w:r>
      <w:r>
        <w:rPr>
          <w:rFonts w:ascii="Times New Roman" w:hAnsi="Times New Roman"/>
          <w:b/>
          <w:color w:val="auto"/>
          <w:sz w:val="28"/>
          <w:szCs w:val="28"/>
          <w:highlight w:val="none"/>
          <w:lang w:bidi="th-TH"/>
        </w:rPr>
        <w:t>应急储备能力建设目标</w:t>
      </w:r>
      <w:r>
        <w:rPr>
          <w:rFonts w:ascii="Times New Roman" w:hAnsi="Times New Roman"/>
          <w:bCs/>
          <w:color w:val="auto"/>
          <w:sz w:val="28"/>
          <w:szCs w:val="28"/>
          <w:highlight w:val="none"/>
          <w:lang w:bidi="th-TH"/>
        </w:rPr>
        <w:t>：</w:t>
      </w:r>
      <w:r>
        <w:rPr>
          <w:rFonts w:hint="eastAsia" w:ascii="Times New Roman" w:hAnsi="Times New Roman"/>
          <w:color w:val="auto"/>
          <w:sz w:val="28"/>
          <w:szCs w:val="28"/>
          <w:highlight w:val="none"/>
          <w:lang w:bidi="th-TH"/>
        </w:rPr>
        <w:t>“规划”</w:t>
      </w:r>
      <w:r>
        <w:rPr>
          <w:rFonts w:ascii="Times New Roman" w:hAnsi="Times New Roman"/>
          <w:bCs/>
          <w:color w:val="auto"/>
          <w:sz w:val="28"/>
          <w:szCs w:val="28"/>
          <w:highlight w:val="none"/>
          <w:lang w:bidi="th-TH"/>
        </w:rPr>
        <w:t>期间规划建设LNG</w:t>
      </w:r>
      <w:r>
        <w:rPr>
          <w:rFonts w:hint="eastAsia" w:ascii="Times New Roman" w:hAnsi="Times New Roman"/>
          <w:bCs/>
          <w:color w:val="auto"/>
          <w:sz w:val="28"/>
          <w:szCs w:val="28"/>
          <w:highlight w:val="none"/>
          <w:lang w:bidi="th-TH"/>
        </w:rPr>
        <w:t>储配站1</w:t>
      </w:r>
      <w:r>
        <w:rPr>
          <w:rFonts w:ascii="Times New Roman" w:hAnsi="Times New Roman"/>
          <w:bCs/>
          <w:color w:val="auto"/>
          <w:sz w:val="28"/>
          <w:szCs w:val="28"/>
          <w:highlight w:val="none"/>
          <w:lang w:bidi="th-TH"/>
        </w:rPr>
        <w:t>座，储存规模为</w:t>
      </w:r>
      <w:r>
        <w:rPr>
          <w:rFonts w:hint="eastAsia" w:ascii="Times New Roman" w:hAnsi="Times New Roman"/>
          <w:bCs/>
          <w:color w:val="auto"/>
          <w:sz w:val="28"/>
          <w:szCs w:val="28"/>
          <w:highlight w:val="none"/>
          <w:lang w:val="en-US" w:eastAsia="zh-CN" w:bidi="th-TH"/>
        </w:rPr>
        <w:t>50</w:t>
      </w:r>
      <w:r>
        <w:rPr>
          <w:rFonts w:ascii="Times New Roman" w:hAnsi="Times New Roman"/>
          <w:bCs/>
          <w:color w:val="auto"/>
          <w:sz w:val="28"/>
          <w:szCs w:val="28"/>
          <w:highlight w:val="none"/>
          <w:lang w:bidi="th-TH"/>
        </w:rPr>
        <w:t>×10</w:t>
      </w:r>
      <w:r>
        <w:rPr>
          <w:rFonts w:ascii="Times New Roman" w:hAnsi="Times New Roman"/>
          <w:bCs/>
          <w:color w:val="auto"/>
          <w:sz w:val="28"/>
          <w:szCs w:val="28"/>
          <w:highlight w:val="none"/>
          <w:vertAlign w:val="superscript"/>
          <w:lang w:bidi="th-TH"/>
        </w:rPr>
        <w:t>4</w:t>
      </w:r>
      <w:r>
        <w:rPr>
          <w:rFonts w:ascii="Times New Roman" w:hAnsi="Times New Roman"/>
          <w:bCs/>
          <w:color w:val="auto"/>
          <w:sz w:val="28"/>
          <w:szCs w:val="28"/>
          <w:highlight w:val="none"/>
          <w:lang w:bidi="th-TH"/>
        </w:rPr>
        <w:t>Nm</w:t>
      </w:r>
      <w:r>
        <w:rPr>
          <w:rFonts w:ascii="Times New Roman" w:hAnsi="Times New Roman"/>
          <w:bCs/>
          <w:color w:val="auto"/>
          <w:sz w:val="28"/>
          <w:szCs w:val="28"/>
          <w:highlight w:val="none"/>
          <w:vertAlign w:val="superscript"/>
          <w:lang w:bidi="th-TH"/>
        </w:rPr>
        <w:t>3</w:t>
      </w:r>
      <w:r>
        <w:rPr>
          <w:rFonts w:ascii="Times New Roman" w:hAnsi="Times New Roman"/>
          <w:bCs/>
          <w:color w:val="auto"/>
          <w:sz w:val="28"/>
          <w:szCs w:val="28"/>
          <w:highlight w:val="none"/>
          <w:lang w:bidi="th-TH"/>
        </w:rPr>
        <w:t>。同时依托</w:t>
      </w:r>
      <w:r>
        <w:rPr>
          <w:rFonts w:hint="eastAsia" w:ascii="Times New Roman" w:hAnsi="Times New Roman"/>
          <w:bCs/>
          <w:color w:val="auto"/>
          <w:sz w:val="28"/>
          <w:szCs w:val="28"/>
          <w:highlight w:val="none"/>
          <w:lang w:bidi="th-TH"/>
        </w:rPr>
        <w:t>盘锦储气库</w:t>
      </w:r>
      <w:r>
        <w:rPr>
          <w:rFonts w:ascii="Times New Roman" w:hAnsi="Times New Roman"/>
          <w:bCs/>
          <w:color w:val="auto"/>
          <w:sz w:val="28"/>
          <w:szCs w:val="28"/>
          <w:highlight w:val="none"/>
          <w:lang w:bidi="th-TH"/>
        </w:rPr>
        <w:t>完成城镇燃气企业</w:t>
      </w:r>
      <w:r>
        <w:rPr>
          <w:rFonts w:hint="eastAsia" w:ascii="Times New Roman" w:hAnsi="Times New Roman"/>
          <w:bCs/>
          <w:color w:val="auto"/>
          <w:sz w:val="28"/>
          <w:szCs w:val="28"/>
          <w:highlight w:val="none"/>
          <w:lang w:bidi="th-TH"/>
        </w:rPr>
        <w:t>5%</w:t>
      </w:r>
      <w:r>
        <w:rPr>
          <w:rFonts w:ascii="Times New Roman" w:hAnsi="Times New Roman"/>
          <w:bCs/>
          <w:color w:val="auto"/>
          <w:sz w:val="28"/>
          <w:szCs w:val="28"/>
          <w:highlight w:val="none"/>
          <w:lang w:bidi="th-TH"/>
        </w:rPr>
        <w:t>和政府3天日均供气量的储气能力</w:t>
      </w:r>
      <w:r>
        <w:rPr>
          <w:rFonts w:hint="eastAsia" w:ascii="Times New Roman" w:hAnsi="Times New Roman"/>
          <w:bCs/>
          <w:color w:val="0000FF"/>
          <w:sz w:val="28"/>
          <w:szCs w:val="28"/>
          <w:highlight w:val="none"/>
          <w:lang w:bidi="th-TH"/>
        </w:rPr>
        <w:t>，应急储气能力满足相关要求。</w:t>
      </w:r>
    </w:p>
    <w:p>
      <w:pPr>
        <w:ind w:firstLine="562" w:firstLineChars="200"/>
        <w:rPr>
          <w:rFonts w:ascii="Times New Roman" w:hAnsi="Times New Roman"/>
          <w:color w:val="auto"/>
          <w:sz w:val="28"/>
          <w:szCs w:val="28"/>
          <w:highlight w:val="none"/>
          <w:lang w:bidi="th-TH"/>
        </w:rPr>
      </w:pPr>
      <w:r>
        <w:rPr>
          <w:rFonts w:hint="eastAsia" w:ascii="Times New Roman" w:hAnsi="Times New Roman"/>
          <w:b/>
          <w:color w:val="auto"/>
          <w:sz w:val="28"/>
          <w:szCs w:val="28"/>
          <w:highlight w:val="none"/>
          <w:lang w:val="en-US" w:eastAsia="zh-CN" w:bidi="th-TH"/>
        </w:rPr>
        <w:t>（5）</w:t>
      </w:r>
      <w:r>
        <w:rPr>
          <w:rFonts w:ascii="Times New Roman" w:hAnsi="Times New Roman"/>
          <w:b/>
          <w:color w:val="auto"/>
          <w:sz w:val="28"/>
          <w:szCs w:val="28"/>
          <w:highlight w:val="none"/>
          <w:lang w:bidi="th-TH"/>
        </w:rPr>
        <w:t>智慧燃气目标：</w:t>
      </w:r>
      <w:r>
        <w:rPr>
          <w:rFonts w:ascii="Times New Roman" w:hAnsi="Times New Roman"/>
          <w:color w:val="auto"/>
          <w:sz w:val="28"/>
          <w:szCs w:val="28"/>
          <w:highlight w:val="none"/>
          <w:lang w:bidi="th-TH"/>
        </w:rPr>
        <w:t>建立政府和企业级两层智慧管控平台，推荐利用模拟仿真系统实现燃气管网科学规划、智能分析；管道燃气企业</w:t>
      </w:r>
      <w:r>
        <w:rPr>
          <w:rFonts w:hint="eastAsia" w:ascii="Times New Roman" w:hAnsi="Times New Roman"/>
          <w:color w:val="auto"/>
          <w:sz w:val="28"/>
          <w:szCs w:val="28"/>
          <w:highlight w:val="none"/>
          <w:lang w:bidi="th-TH"/>
        </w:rPr>
        <w:t>“规划”期</w:t>
      </w:r>
      <w:r>
        <w:rPr>
          <w:rFonts w:ascii="Times New Roman" w:hAnsi="Times New Roman"/>
          <w:color w:val="auto"/>
          <w:sz w:val="28"/>
          <w:szCs w:val="28"/>
          <w:highlight w:val="none"/>
          <w:lang w:bidi="th-TH"/>
        </w:rPr>
        <w:t>末，输配管网GIS覆盖率100%；</w:t>
      </w:r>
      <w:r>
        <w:rPr>
          <w:rFonts w:hint="eastAsia" w:ascii="Times New Roman" w:hAnsi="Times New Roman"/>
          <w:color w:val="auto"/>
          <w:sz w:val="28"/>
          <w:szCs w:val="28"/>
          <w:highlight w:val="none"/>
          <w:lang w:val="en-US" w:eastAsia="zh-CN" w:bidi="th-TH"/>
        </w:rPr>
        <w:t>分输站、</w:t>
      </w:r>
      <w:r>
        <w:rPr>
          <w:rFonts w:ascii="Times New Roman" w:hAnsi="Times New Roman"/>
          <w:color w:val="auto"/>
          <w:sz w:val="28"/>
          <w:szCs w:val="28"/>
          <w:highlight w:val="none"/>
          <w:lang w:bidi="th-TH"/>
        </w:rPr>
        <w:t>天然气储配站</w:t>
      </w:r>
      <w:r>
        <w:rPr>
          <w:rFonts w:hint="eastAsia" w:ascii="Times New Roman" w:hAnsi="Times New Roman"/>
          <w:color w:val="auto"/>
          <w:sz w:val="28"/>
          <w:szCs w:val="28"/>
          <w:highlight w:val="none"/>
          <w:lang w:val="en-US" w:eastAsia="zh-CN" w:bidi="th-TH"/>
        </w:rPr>
        <w:t>等</w:t>
      </w:r>
      <w:r>
        <w:rPr>
          <w:rFonts w:ascii="Times New Roman" w:hAnsi="Times New Roman"/>
          <w:color w:val="auto"/>
          <w:sz w:val="28"/>
          <w:szCs w:val="28"/>
          <w:highlight w:val="none"/>
          <w:lang w:bidi="th-TH"/>
        </w:rPr>
        <w:t>站控系统数据远传及远程控制达到100%</w:t>
      </w:r>
      <w:r>
        <w:rPr>
          <w:rFonts w:hint="eastAsia" w:ascii="Times New Roman" w:hAnsi="Times New Roman"/>
          <w:color w:val="auto"/>
          <w:sz w:val="28"/>
          <w:szCs w:val="28"/>
          <w:highlight w:val="none"/>
          <w:lang w:eastAsia="zh-CN" w:bidi="th-TH"/>
        </w:rPr>
        <w:t>。</w:t>
      </w:r>
    </w:p>
    <w:bookmarkEnd w:id="27"/>
    <w:p>
      <w:pPr>
        <w:rPr>
          <w:color w:val="auto"/>
          <w:sz w:val="28"/>
          <w:szCs w:val="28"/>
          <w:highlight w:val="none"/>
        </w:rPr>
      </w:pPr>
    </w:p>
    <w:p>
      <w:pPr>
        <w:pStyle w:val="2"/>
        <w:rPr>
          <w:rFonts w:hint="eastAsia"/>
          <w:color w:val="auto"/>
          <w:highlight w:val="none"/>
        </w:rPr>
      </w:pPr>
      <w:bookmarkStart w:id="29" w:name="_Toc23965"/>
      <w:r>
        <w:rPr>
          <w:rFonts w:hint="eastAsia"/>
          <w:color w:val="auto"/>
          <w:highlight w:val="none"/>
        </w:rPr>
        <w:t>第</w:t>
      </w:r>
      <w:r>
        <w:rPr>
          <w:rFonts w:hint="eastAsia"/>
          <w:color w:val="auto"/>
          <w:highlight w:val="none"/>
          <w:lang w:val="en-US" w:eastAsia="zh-CN"/>
        </w:rPr>
        <w:t>二</w:t>
      </w:r>
      <w:r>
        <w:rPr>
          <w:rFonts w:hint="eastAsia"/>
          <w:color w:val="auto"/>
          <w:highlight w:val="none"/>
        </w:rPr>
        <w:t>章  燃气需求预测</w:t>
      </w:r>
      <w:bookmarkEnd w:id="25"/>
      <w:bookmarkEnd w:id="29"/>
    </w:p>
    <w:p>
      <w:pPr>
        <w:pStyle w:val="3"/>
        <w:pageBreakBefore w:val="0"/>
        <w:widowControl w:val="0"/>
        <w:kinsoku/>
        <w:wordWrap/>
        <w:overflowPunct/>
        <w:topLinePunct w:val="0"/>
        <w:autoSpaceDE/>
        <w:autoSpaceDN/>
        <w:bidi w:val="0"/>
        <w:adjustRightInd/>
        <w:snapToGrid/>
        <w:spacing w:line="360" w:lineRule="auto"/>
        <w:textAlignment w:val="auto"/>
        <w:rPr>
          <w:color w:val="auto"/>
          <w:highlight w:val="none"/>
        </w:rPr>
      </w:pPr>
      <w:bookmarkStart w:id="30" w:name="_Toc261"/>
      <w:bookmarkStart w:id="31" w:name="_Toc25995"/>
      <w:r>
        <w:rPr>
          <w:color w:val="auto"/>
          <w:highlight w:val="none"/>
        </w:rPr>
        <w:t>第</w:t>
      </w:r>
      <w:r>
        <w:rPr>
          <w:rFonts w:hint="eastAsia"/>
          <w:color w:val="auto"/>
          <w:highlight w:val="none"/>
          <w:lang w:val="en-US" w:eastAsia="zh-CN"/>
        </w:rPr>
        <w:t>八</w:t>
      </w:r>
      <w:r>
        <w:rPr>
          <w:color w:val="auto"/>
          <w:highlight w:val="none"/>
        </w:rPr>
        <w:t>条：供气原则</w:t>
      </w:r>
      <w:bookmarkEnd w:id="30"/>
      <w:bookmarkEnd w:id="31"/>
    </w:p>
    <w:p>
      <w:pPr>
        <w:spacing w:line="360" w:lineRule="auto"/>
        <w:ind w:firstLine="560" w:firstLineChars="200"/>
        <w:jc w:val="left"/>
        <w:rPr>
          <w:rFonts w:hint="eastAsia" w:ascii="Times New Roman" w:hAnsi="Times New Roman" w:eastAsia="宋体" w:cs="Times New Roman"/>
          <w:color w:val="auto"/>
          <w:sz w:val="28"/>
          <w:szCs w:val="28"/>
          <w:highlight w:val="none"/>
          <w:lang w:bidi="th-TH"/>
        </w:rPr>
      </w:pPr>
      <w:bookmarkStart w:id="32" w:name="_Toc23428"/>
      <w:bookmarkStart w:id="33" w:name="_Toc59549663"/>
      <w:r>
        <w:rPr>
          <w:rFonts w:hint="eastAsia" w:ascii="Times New Roman" w:hAnsi="Times New Roman" w:eastAsia="宋体" w:cs="Times New Roman"/>
          <w:color w:val="auto"/>
          <w:sz w:val="28"/>
          <w:szCs w:val="28"/>
          <w:highlight w:val="none"/>
          <w:lang w:bidi="th-TH"/>
        </w:rPr>
        <w:t>1、由于气源成本较高，管道燃气主要用于工业企业加热炉及工业燃气锅炉的使用。</w:t>
      </w:r>
    </w:p>
    <w:p>
      <w:pPr>
        <w:spacing w:line="360" w:lineRule="auto"/>
        <w:ind w:firstLine="560" w:firstLineChars="200"/>
        <w:jc w:val="left"/>
        <w:rPr>
          <w:rFonts w:ascii="Times New Roman" w:hAnsi="Times New Roman" w:eastAsia="宋体" w:cs="Times New Roman"/>
          <w:color w:val="auto"/>
          <w:sz w:val="28"/>
          <w:szCs w:val="28"/>
          <w:highlight w:val="none"/>
          <w:lang w:bidi="th-TH"/>
        </w:rPr>
      </w:pPr>
      <w:r>
        <w:rPr>
          <w:rFonts w:hint="eastAsia" w:ascii="Times New Roman" w:hAnsi="Times New Roman" w:eastAsia="宋体" w:cs="Times New Roman"/>
          <w:color w:val="auto"/>
          <w:sz w:val="28"/>
          <w:szCs w:val="28"/>
          <w:highlight w:val="none"/>
          <w:lang w:bidi="th-TH"/>
        </w:rPr>
        <w:t>2、在保证安全可靠供气的同时，要考虑燃气设施</w:t>
      </w:r>
      <w:r>
        <w:rPr>
          <w:rFonts w:hint="eastAsia" w:ascii="Times New Roman" w:hAnsi="Times New Roman" w:eastAsia="宋体" w:cs="Times New Roman"/>
          <w:color w:val="auto"/>
          <w:sz w:val="28"/>
          <w:szCs w:val="28"/>
          <w:highlight w:val="none"/>
          <w:lang w:val="en-US" w:eastAsia="zh-CN" w:bidi="th-TH"/>
        </w:rPr>
        <w:t>布局</w:t>
      </w:r>
      <w:r>
        <w:rPr>
          <w:rFonts w:hint="eastAsia" w:ascii="Times New Roman" w:hAnsi="Times New Roman" w:eastAsia="宋体" w:cs="Times New Roman"/>
          <w:color w:val="auto"/>
          <w:sz w:val="28"/>
          <w:szCs w:val="28"/>
          <w:highlight w:val="none"/>
          <w:lang w:bidi="th-TH"/>
        </w:rPr>
        <w:t>的合理</w:t>
      </w:r>
      <w:r>
        <w:rPr>
          <w:rFonts w:hint="eastAsia" w:ascii="Times New Roman" w:hAnsi="Times New Roman" w:eastAsia="宋体" w:cs="Times New Roman"/>
          <w:color w:val="auto"/>
          <w:sz w:val="28"/>
          <w:szCs w:val="28"/>
          <w:highlight w:val="none"/>
          <w:lang w:val="en-US" w:eastAsia="zh-CN" w:bidi="th-TH"/>
        </w:rPr>
        <w:t>性。</w:t>
      </w:r>
    </w:p>
    <w:p>
      <w:pPr>
        <w:pStyle w:val="3"/>
        <w:rPr>
          <w:color w:val="auto"/>
          <w:highlight w:val="none"/>
        </w:rPr>
      </w:pPr>
      <w:bookmarkStart w:id="34" w:name="_Toc32140"/>
      <w:r>
        <w:rPr>
          <w:color w:val="auto"/>
          <w:highlight w:val="none"/>
        </w:rPr>
        <w:t>第</w:t>
      </w:r>
      <w:r>
        <w:rPr>
          <w:rFonts w:hint="eastAsia"/>
          <w:color w:val="auto"/>
          <w:highlight w:val="none"/>
          <w:lang w:val="en-US" w:eastAsia="zh-CN"/>
        </w:rPr>
        <w:t>九</w:t>
      </w:r>
      <w:r>
        <w:rPr>
          <w:color w:val="auto"/>
          <w:highlight w:val="none"/>
        </w:rPr>
        <w:t>条：市场预测</w:t>
      </w:r>
      <w:bookmarkEnd w:id="32"/>
      <w:bookmarkEnd w:id="33"/>
      <w:bookmarkEnd w:id="34"/>
    </w:p>
    <w:p>
      <w:pPr>
        <w:spacing w:line="360" w:lineRule="auto"/>
        <w:ind w:firstLine="562" w:firstLineChars="200"/>
        <w:rPr>
          <w:rFonts w:ascii="Times New Roman" w:hAnsi="Times New Roman" w:eastAsia="宋体" w:cs="Times New Roman"/>
          <w:b/>
          <w:color w:val="auto"/>
          <w:sz w:val="28"/>
          <w:szCs w:val="28"/>
          <w:highlight w:val="none"/>
          <w:lang w:bidi="th-TH"/>
        </w:rPr>
      </w:pPr>
      <w:r>
        <w:rPr>
          <w:rFonts w:ascii="Times New Roman" w:hAnsi="Times New Roman" w:eastAsia="宋体" w:cs="Times New Roman"/>
          <w:b/>
          <w:color w:val="auto"/>
          <w:sz w:val="28"/>
          <w:szCs w:val="28"/>
          <w:highlight w:val="none"/>
          <w:lang w:bidi="th-TH"/>
        </w:rPr>
        <w:t>1、</w:t>
      </w:r>
      <w:r>
        <w:rPr>
          <w:rFonts w:hint="eastAsia" w:ascii="Times New Roman" w:hAnsi="Times New Roman" w:eastAsia="宋体" w:cs="Times New Roman"/>
          <w:b/>
          <w:color w:val="auto"/>
          <w:sz w:val="28"/>
          <w:szCs w:val="28"/>
          <w:highlight w:val="none"/>
          <w:lang w:val="en-US" w:eastAsia="zh-CN" w:bidi="th-TH"/>
        </w:rPr>
        <w:t>工业</w:t>
      </w:r>
      <w:r>
        <w:rPr>
          <w:rFonts w:ascii="Times New Roman" w:hAnsi="Times New Roman" w:eastAsia="宋体" w:cs="Times New Roman"/>
          <w:b/>
          <w:color w:val="auto"/>
          <w:sz w:val="28"/>
          <w:szCs w:val="28"/>
          <w:highlight w:val="none"/>
          <w:lang w:bidi="th-TH"/>
        </w:rPr>
        <w:t>用户耗热定额</w:t>
      </w:r>
    </w:p>
    <w:p>
      <w:pPr>
        <w:spacing w:line="360" w:lineRule="auto"/>
        <w:ind w:firstLine="560" w:firstLineChars="200"/>
        <w:rPr>
          <w:rFonts w:hint="default" w:ascii="Times New Roman" w:hAnsi="Times New Roman" w:cs="Times New Roman"/>
          <w:color w:val="auto"/>
          <w:sz w:val="28"/>
          <w:szCs w:val="24"/>
          <w:highlight w:val="none"/>
          <w:lang w:val="en-US" w:eastAsia="zh-CN"/>
        </w:rPr>
      </w:pPr>
      <w:bookmarkStart w:id="35" w:name="_Hlk97302835"/>
      <w:r>
        <w:rPr>
          <w:rFonts w:hint="default" w:ascii="Times New Roman" w:hAnsi="Times New Roman" w:cs="Times New Roman"/>
          <w:color w:val="auto"/>
          <w:sz w:val="28"/>
          <w:szCs w:val="24"/>
          <w:highlight w:val="none"/>
        </w:rPr>
        <w:t>本规划根据</w:t>
      </w:r>
      <w:r>
        <w:rPr>
          <w:rFonts w:hint="eastAsia" w:ascii="Times New Roman" w:hAnsi="Times New Roman" w:cs="Times New Roman"/>
          <w:color w:val="auto"/>
          <w:sz w:val="28"/>
          <w:szCs w:val="24"/>
          <w:highlight w:val="none"/>
          <w:lang w:eastAsia="zh-CN"/>
        </w:rPr>
        <w:t>《抚顺高新</w:t>
      </w:r>
      <w:r>
        <w:rPr>
          <w:rFonts w:hint="eastAsia" w:ascii="Times New Roman" w:hAnsi="Times New Roman" w:cs="Times New Roman"/>
          <w:color w:val="auto"/>
          <w:sz w:val="28"/>
          <w:szCs w:val="24"/>
          <w:highlight w:val="none"/>
          <w:lang w:val="en-US" w:eastAsia="zh-CN"/>
        </w:rPr>
        <w:t>技术产业开发区国土空间规划</w:t>
      </w:r>
      <w:r>
        <w:rPr>
          <w:rFonts w:hint="eastAsia" w:ascii="Times New Roman" w:hAnsi="Times New Roman" w:cs="Times New Roman"/>
          <w:color w:val="auto"/>
          <w:sz w:val="28"/>
          <w:szCs w:val="24"/>
          <w:highlight w:val="none"/>
          <w:lang w:eastAsia="zh-CN"/>
        </w:rPr>
        <w:t>（20</w:t>
      </w:r>
      <w:r>
        <w:rPr>
          <w:rFonts w:hint="eastAsia" w:ascii="Times New Roman" w:hAnsi="Times New Roman" w:cs="Times New Roman"/>
          <w:color w:val="auto"/>
          <w:sz w:val="28"/>
          <w:szCs w:val="24"/>
          <w:highlight w:val="none"/>
          <w:lang w:val="en-US" w:eastAsia="zh-CN"/>
        </w:rPr>
        <w:t>21-2035年</w:t>
      </w:r>
      <w:r>
        <w:rPr>
          <w:rFonts w:hint="eastAsia" w:ascii="Times New Roman" w:hAnsi="Times New Roman" w:cs="Times New Roman"/>
          <w:color w:val="auto"/>
          <w:sz w:val="28"/>
          <w:szCs w:val="24"/>
          <w:highlight w:val="none"/>
          <w:lang w:eastAsia="zh-CN"/>
        </w:rPr>
        <w:t>）》</w:t>
      </w:r>
      <w:r>
        <w:rPr>
          <w:rFonts w:hint="eastAsia" w:ascii="Times New Roman" w:hAnsi="Times New Roman" w:cs="Times New Roman"/>
          <w:color w:val="auto"/>
          <w:sz w:val="28"/>
          <w:szCs w:val="24"/>
          <w:highlight w:val="none"/>
          <w:lang w:val="en-US" w:eastAsia="zh-CN"/>
        </w:rPr>
        <w:t>的</w:t>
      </w:r>
      <w:r>
        <w:rPr>
          <w:rFonts w:hint="default" w:ascii="Times New Roman" w:hAnsi="Times New Roman" w:cs="Times New Roman"/>
          <w:color w:val="auto"/>
          <w:sz w:val="28"/>
          <w:szCs w:val="24"/>
          <w:highlight w:val="none"/>
        </w:rPr>
        <w:t>一、二、三类工业用地的面积</w:t>
      </w:r>
      <w:r>
        <w:rPr>
          <w:rFonts w:hint="default" w:ascii="Times New Roman" w:hAnsi="Times New Roman" w:cs="Times New Roman"/>
          <w:color w:val="auto"/>
          <w:sz w:val="28"/>
          <w:szCs w:val="24"/>
          <w:highlight w:val="none"/>
          <w:lang w:eastAsia="zh-CN"/>
        </w:rPr>
        <w:t>，</w:t>
      </w:r>
      <w:r>
        <w:rPr>
          <w:rFonts w:hint="default" w:ascii="Times New Roman" w:hAnsi="Times New Roman" w:cs="Times New Roman"/>
          <w:color w:val="auto"/>
          <w:sz w:val="28"/>
          <w:szCs w:val="24"/>
          <w:highlight w:val="none"/>
          <w:lang w:val="en-US" w:eastAsia="zh-CN"/>
        </w:rPr>
        <w:t>见表</w:t>
      </w:r>
      <w:r>
        <w:rPr>
          <w:rFonts w:hint="eastAsia" w:ascii="Times New Roman" w:hAnsi="Times New Roman" w:cs="Times New Roman"/>
          <w:color w:val="auto"/>
          <w:sz w:val="28"/>
          <w:szCs w:val="24"/>
          <w:highlight w:val="none"/>
          <w:lang w:val="en-US" w:eastAsia="zh-CN"/>
        </w:rPr>
        <w:t>2</w:t>
      </w:r>
      <w:r>
        <w:rPr>
          <w:rFonts w:hint="default" w:ascii="Times New Roman" w:hAnsi="Times New Roman" w:cs="Times New Roman"/>
          <w:color w:val="auto"/>
          <w:sz w:val="28"/>
          <w:szCs w:val="24"/>
          <w:highlight w:val="none"/>
          <w:lang w:val="en-US" w:eastAsia="zh-CN"/>
        </w:rPr>
        <w:t>-1</w:t>
      </w:r>
      <w:r>
        <w:rPr>
          <w:rFonts w:hint="default" w:ascii="Times New Roman" w:hAnsi="Times New Roman" w:cs="Times New Roman"/>
          <w:color w:val="auto"/>
          <w:sz w:val="28"/>
          <w:szCs w:val="24"/>
          <w:highlight w:val="none"/>
        </w:rPr>
        <w:t>，采用单位面积工业分类耗热指标计算。根据调查统计，并参考成熟工业区的耗气指标，本规划单位面积工业分类耗热指标取值如</w:t>
      </w:r>
      <w:r>
        <w:rPr>
          <w:rFonts w:hint="default" w:ascii="Times New Roman" w:hAnsi="Times New Roman" w:cs="Times New Roman"/>
          <w:color w:val="auto"/>
          <w:sz w:val="28"/>
          <w:szCs w:val="24"/>
          <w:highlight w:val="none"/>
          <w:lang w:val="en-US" w:eastAsia="zh-CN"/>
        </w:rPr>
        <w:t>表</w:t>
      </w:r>
      <w:r>
        <w:rPr>
          <w:rFonts w:hint="eastAsia" w:ascii="Times New Roman" w:hAnsi="Times New Roman" w:cs="Times New Roman"/>
          <w:color w:val="auto"/>
          <w:sz w:val="28"/>
          <w:szCs w:val="24"/>
          <w:highlight w:val="none"/>
          <w:lang w:val="en-US" w:eastAsia="zh-CN"/>
        </w:rPr>
        <w:t>2</w:t>
      </w:r>
      <w:r>
        <w:rPr>
          <w:rFonts w:hint="default" w:ascii="Times New Roman" w:hAnsi="Times New Roman" w:cs="Times New Roman"/>
          <w:color w:val="auto"/>
          <w:sz w:val="28"/>
          <w:szCs w:val="24"/>
          <w:highlight w:val="none"/>
          <w:lang w:val="en-US" w:eastAsia="zh-CN"/>
        </w:rPr>
        <w:t>-2。</w:t>
      </w:r>
    </w:p>
    <w:p>
      <w:pPr>
        <w:spacing w:line="360" w:lineRule="auto"/>
        <w:jc w:val="center"/>
        <w:rPr>
          <w:rFonts w:hint="default" w:ascii="Times New Roman" w:hAnsi="Times New Roman" w:cs="Times New Roman" w:eastAsiaTheme="minorEastAsia"/>
          <w:b/>
          <w:bCs/>
          <w:color w:val="auto"/>
          <w:sz w:val="24"/>
          <w:szCs w:val="22"/>
          <w:highlight w:val="none"/>
          <w:lang w:val="en-US" w:eastAsia="zh-CN"/>
        </w:rPr>
      </w:pPr>
      <w:r>
        <w:rPr>
          <w:rFonts w:hint="default" w:ascii="Times New Roman" w:hAnsi="Times New Roman" w:cs="Times New Roman"/>
          <w:b/>
          <w:bCs/>
          <w:color w:val="auto"/>
          <w:sz w:val="24"/>
          <w:szCs w:val="22"/>
          <w:highlight w:val="none"/>
          <w:lang w:val="en-US" w:eastAsia="zh-CN"/>
        </w:rPr>
        <w:t>表</w:t>
      </w:r>
      <w:r>
        <w:rPr>
          <w:rFonts w:hint="eastAsia" w:ascii="Times New Roman" w:hAnsi="Times New Roman" w:cs="Times New Roman"/>
          <w:b/>
          <w:bCs/>
          <w:color w:val="auto"/>
          <w:sz w:val="24"/>
          <w:szCs w:val="22"/>
          <w:highlight w:val="none"/>
          <w:lang w:val="en-US" w:eastAsia="zh-CN"/>
        </w:rPr>
        <w:t>2</w:t>
      </w:r>
      <w:r>
        <w:rPr>
          <w:rFonts w:hint="default" w:ascii="Times New Roman" w:hAnsi="Times New Roman" w:cs="Times New Roman"/>
          <w:b/>
          <w:bCs/>
          <w:color w:val="auto"/>
          <w:sz w:val="24"/>
          <w:szCs w:val="22"/>
          <w:highlight w:val="none"/>
          <w:lang w:val="en-US" w:eastAsia="zh-CN"/>
        </w:rPr>
        <w:t>-</w:t>
      </w:r>
      <w:r>
        <w:rPr>
          <w:rFonts w:hint="eastAsia" w:ascii="Times New Roman" w:hAnsi="Times New Roman" w:cs="Times New Roman"/>
          <w:b/>
          <w:bCs/>
          <w:color w:val="auto"/>
          <w:sz w:val="24"/>
          <w:szCs w:val="22"/>
          <w:highlight w:val="none"/>
          <w:lang w:val="en-US" w:eastAsia="zh-CN"/>
        </w:rPr>
        <w:t>1</w:t>
      </w:r>
      <w:r>
        <w:rPr>
          <w:rFonts w:hint="default" w:ascii="Times New Roman" w:hAnsi="Times New Roman" w:cs="Times New Roman"/>
          <w:b/>
          <w:bCs/>
          <w:color w:val="auto"/>
          <w:sz w:val="24"/>
          <w:szCs w:val="22"/>
          <w:highlight w:val="none"/>
          <w:lang w:val="en-US" w:eastAsia="zh-CN"/>
        </w:rPr>
        <w:t xml:space="preserve">  </w:t>
      </w:r>
      <w:r>
        <w:rPr>
          <w:rFonts w:hint="eastAsia" w:ascii="Times New Roman" w:hAnsi="Times New Roman" w:cs="Times New Roman"/>
          <w:b/>
          <w:bCs/>
          <w:color w:val="auto"/>
          <w:sz w:val="24"/>
          <w:szCs w:val="22"/>
          <w:highlight w:val="none"/>
          <w:lang w:val="en-US" w:eastAsia="zh-CN"/>
        </w:rPr>
        <w:t>工业用地面积</w:t>
      </w:r>
    </w:p>
    <w:tbl>
      <w:tblPr>
        <w:tblStyle w:val="29"/>
        <w:tblW w:w="4999" w:type="pct"/>
        <w:tblInd w:w="0" w:type="dxa"/>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2853"/>
        <w:gridCol w:w="2855"/>
        <w:gridCol w:w="2856"/>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auto"/>
                <w:sz w:val="24"/>
                <w:szCs w:val="22"/>
                <w:highlight w:val="none"/>
                <w:vertAlign w:val="baseline"/>
                <w:lang w:val="en-US" w:eastAsia="zh-CN"/>
              </w:rPr>
            </w:pPr>
            <w:r>
              <w:rPr>
                <w:rFonts w:hint="eastAsia" w:ascii="Times New Roman" w:hAnsi="Times New Roman" w:cs="Times New Roman"/>
                <w:color w:val="auto"/>
                <w:sz w:val="24"/>
                <w:szCs w:val="22"/>
                <w:highlight w:val="none"/>
                <w:vertAlign w:val="baseline"/>
                <w:lang w:val="en-US" w:eastAsia="zh-CN"/>
              </w:rPr>
              <w:t>序号</w:t>
            </w:r>
          </w:p>
        </w:tc>
        <w:tc>
          <w:tcPr>
            <w:tcW w:w="1363"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auto"/>
                <w:sz w:val="24"/>
                <w:szCs w:val="22"/>
                <w:highlight w:val="none"/>
                <w:vertAlign w:val="baseline"/>
                <w:lang w:val="en-US" w:eastAsia="zh-CN"/>
              </w:rPr>
            </w:pPr>
            <w:r>
              <w:rPr>
                <w:rFonts w:hint="eastAsia" w:ascii="Times New Roman" w:hAnsi="Times New Roman" w:cs="Times New Roman"/>
                <w:color w:val="auto"/>
                <w:sz w:val="24"/>
                <w:szCs w:val="22"/>
                <w:highlight w:val="none"/>
                <w:vertAlign w:val="baseline"/>
                <w:lang w:val="en-US" w:eastAsia="zh-CN"/>
              </w:rPr>
              <w:t>一类工业用地面积（ha）</w:t>
            </w:r>
          </w:p>
        </w:tc>
        <w:tc>
          <w:tcPr>
            <w:tcW w:w="2854"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color w:val="auto"/>
                <w:sz w:val="24"/>
                <w:szCs w:val="22"/>
                <w:highlight w:val="none"/>
                <w:vertAlign w:val="baseline"/>
                <w:lang w:val="en-US" w:eastAsia="zh-CN"/>
              </w:rPr>
            </w:pPr>
            <w:r>
              <w:rPr>
                <w:rFonts w:hint="eastAsia" w:ascii="Times New Roman" w:hAnsi="Times New Roman" w:cs="Times New Roman"/>
                <w:color w:val="auto"/>
                <w:sz w:val="24"/>
                <w:szCs w:val="22"/>
                <w:highlight w:val="none"/>
                <w:vertAlign w:val="baseline"/>
                <w:lang w:val="en-US" w:eastAsia="zh-CN"/>
              </w:rPr>
              <w:t>二类工业用地面积（ha）</w:t>
            </w:r>
          </w:p>
        </w:tc>
        <w:tc>
          <w:tcPr>
            <w:tcW w:w="2855"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color w:val="auto"/>
                <w:sz w:val="24"/>
                <w:szCs w:val="22"/>
                <w:highlight w:val="none"/>
                <w:vertAlign w:val="baseline"/>
                <w:lang w:val="en-US" w:eastAsia="zh-CN"/>
              </w:rPr>
            </w:pPr>
            <w:r>
              <w:rPr>
                <w:rFonts w:hint="eastAsia" w:ascii="Times New Roman" w:hAnsi="Times New Roman" w:cs="Times New Roman"/>
                <w:color w:val="auto"/>
                <w:sz w:val="24"/>
                <w:szCs w:val="22"/>
                <w:highlight w:val="none"/>
                <w:vertAlign w:val="baseline"/>
                <w:lang w:val="en-US" w:eastAsia="zh-CN"/>
              </w:rPr>
              <w:t>三类工业用地面积（ha）</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szCs w:val="22"/>
                <w:highlight w:val="none"/>
                <w:vertAlign w:val="baseline"/>
                <w:lang w:val="en-US" w:eastAsia="zh-CN"/>
              </w:rPr>
            </w:pPr>
            <w:r>
              <w:rPr>
                <w:rFonts w:hint="eastAsia" w:ascii="Times New Roman" w:hAnsi="Times New Roman" w:cs="Times New Roman"/>
                <w:color w:val="auto"/>
                <w:sz w:val="24"/>
                <w:szCs w:val="22"/>
                <w:highlight w:val="none"/>
                <w:vertAlign w:val="baseline"/>
                <w:lang w:val="en-US" w:eastAsia="zh-CN"/>
              </w:rPr>
              <w:t>1</w:t>
            </w:r>
          </w:p>
        </w:tc>
        <w:tc>
          <w:tcPr>
            <w:tcW w:w="1363"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szCs w:val="22"/>
                <w:highlight w:val="none"/>
                <w:vertAlign w:val="baseline"/>
                <w:lang w:val="en-US" w:eastAsia="zh-CN"/>
              </w:rPr>
            </w:pPr>
            <w:r>
              <w:rPr>
                <w:rFonts w:hint="eastAsia" w:ascii="Times New Roman" w:hAnsi="Times New Roman" w:cs="Times New Roman"/>
                <w:color w:val="auto"/>
                <w:sz w:val="24"/>
                <w:szCs w:val="22"/>
                <w:highlight w:val="none"/>
                <w:vertAlign w:val="baseline"/>
                <w:lang w:val="en-US" w:eastAsia="zh-CN"/>
              </w:rPr>
              <w:t>0.00</w:t>
            </w:r>
          </w:p>
        </w:tc>
        <w:tc>
          <w:tcPr>
            <w:tcW w:w="2854"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auto"/>
                <w:sz w:val="24"/>
                <w:szCs w:val="24"/>
                <w:highlight w:val="none"/>
                <w:vertAlign w:val="baseline"/>
                <w:lang w:val="en-US" w:eastAsia="zh-CN"/>
              </w:rPr>
            </w:pPr>
            <w:r>
              <w:rPr>
                <w:rFonts w:hint="eastAsia" w:ascii="Times New Roman" w:hAnsi="Times New Roman" w:eastAsia="宋体" w:cs="Times New Roman"/>
                <w:i w:val="0"/>
                <w:iCs w:val="0"/>
                <w:color w:val="auto"/>
                <w:kern w:val="0"/>
                <w:sz w:val="24"/>
                <w:szCs w:val="24"/>
                <w:highlight w:val="none"/>
                <w:u w:val="none"/>
                <w:lang w:val="en-US" w:eastAsia="zh-CN" w:bidi="ar"/>
              </w:rPr>
              <w:t>102.34</w:t>
            </w:r>
          </w:p>
        </w:tc>
        <w:tc>
          <w:tcPr>
            <w:tcW w:w="2855"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auto"/>
                <w:sz w:val="24"/>
                <w:szCs w:val="24"/>
                <w:highlight w:val="none"/>
                <w:vertAlign w:val="baseline"/>
                <w:lang w:val="en-US" w:eastAsia="zh-CN"/>
              </w:rPr>
            </w:pPr>
            <w:r>
              <w:rPr>
                <w:rFonts w:hint="eastAsia" w:ascii="Times New Roman" w:hAnsi="Times New Roman" w:eastAsia="宋体" w:cs="Times New Roman"/>
                <w:i w:val="0"/>
                <w:iCs w:val="0"/>
                <w:color w:val="auto"/>
                <w:kern w:val="0"/>
                <w:sz w:val="24"/>
                <w:szCs w:val="24"/>
                <w:highlight w:val="none"/>
                <w:u w:val="none"/>
                <w:lang w:val="en-US" w:eastAsia="zh-CN" w:bidi="ar"/>
              </w:rPr>
              <w:t>1804.11</w:t>
            </w:r>
          </w:p>
        </w:tc>
      </w:tr>
    </w:tbl>
    <w:p>
      <w:pPr>
        <w:bidi w:val="0"/>
        <w:rPr>
          <w:rFonts w:hint="eastAsia"/>
          <w:color w:val="auto"/>
          <w:highlight w:val="none"/>
          <w:lang w:val="en-US" w:eastAsia="zh-CN"/>
        </w:rPr>
      </w:pPr>
    </w:p>
    <w:p>
      <w:pPr>
        <w:spacing w:line="360" w:lineRule="auto"/>
        <w:jc w:val="center"/>
        <w:rPr>
          <w:rFonts w:hint="default" w:ascii="Times New Roman" w:hAnsi="Times New Roman" w:cs="Times New Roman" w:eastAsiaTheme="minorEastAsia"/>
          <w:b/>
          <w:bCs/>
          <w:color w:val="auto"/>
          <w:sz w:val="24"/>
          <w:szCs w:val="22"/>
          <w:highlight w:val="none"/>
          <w:lang w:val="en-US" w:eastAsia="zh-CN"/>
        </w:rPr>
      </w:pPr>
      <w:r>
        <w:rPr>
          <w:rFonts w:hint="default" w:ascii="Times New Roman" w:hAnsi="Times New Roman" w:cs="Times New Roman"/>
          <w:b/>
          <w:bCs/>
          <w:color w:val="auto"/>
          <w:sz w:val="24"/>
          <w:szCs w:val="22"/>
          <w:highlight w:val="none"/>
          <w:lang w:val="en-US" w:eastAsia="zh-CN"/>
        </w:rPr>
        <w:t>表</w:t>
      </w:r>
      <w:r>
        <w:rPr>
          <w:rFonts w:hint="eastAsia" w:ascii="Times New Roman" w:hAnsi="Times New Roman" w:cs="Times New Roman"/>
          <w:b/>
          <w:bCs/>
          <w:color w:val="auto"/>
          <w:sz w:val="24"/>
          <w:szCs w:val="22"/>
          <w:highlight w:val="none"/>
          <w:lang w:val="en-US" w:eastAsia="zh-CN"/>
        </w:rPr>
        <w:t>2</w:t>
      </w:r>
      <w:r>
        <w:rPr>
          <w:rFonts w:hint="default" w:ascii="Times New Roman" w:hAnsi="Times New Roman" w:cs="Times New Roman"/>
          <w:b/>
          <w:bCs/>
          <w:color w:val="auto"/>
          <w:sz w:val="24"/>
          <w:szCs w:val="22"/>
          <w:highlight w:val="none"/>
          <w:lang w:val="en-US" w:eastAsia="zh-CN"/>
        </w:rPr>
        <w:t>-</w:t>
      </w:r>
      <w:r>
        <w:rPr>
          <w:rFonts w:hint="eastAsia" w:ascii="Times New Roman" w:hAnsi="Times New Roman" w:cs="Times New Roman"/>
          <w:b/>
          <w:bCs/>
          <w:color w:val="auto"/>
          <w:sz w:val="24"/>
          <w:szCs w:val="22"/>
          <w:highlight w:val="none"/>
          <w:lang w:val="en-US" w:eastAsia="zh-CN"/>
        </w:rPr>
        <w:t>2</w:t>
      </w:r>
      <w:r>
        <w:rPr>
          <w:rFonts w:hint="default" w:ascii="Times New Roman" w:hAnsi="Times New Roman" w:cs="Times New Roman"/>
          <w:b/>
          <w:bCs/>
          <w:color w:val="auto"/>
          <w:sz w:val="24"/>
          <w:szCs w:val="22"/>
          <w:highlight w:val="none"/>
          <w:lang w:val="en-US" w:eastAsia="zh-CN"/>
        </w:rPr>
        <w:t xml:space="preserve">  单位面积工业分类耗气指标</w:t>
      </w:r>
    </w:p>
    <w:tbl>
      <w:tblPr>
        <w:tblStyle w:val="29"/>
        <w:tblW w:w="10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4663"/>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3" w:type="dxa"/>
            <w:tcBorders>
              <w:top w:val="thinThickSmallGap" w:color="auto" w:sz="24" w:space="0"/>
              <w:left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auto"/>
                <w:sz w:val="24"/>
                <w:szCs w:val="22"/>
                <w:highlight w:val="none"/>
                <w:vertAlign w:val="baseline"/>
                <w:lang w:val="en-US" w:eastAsia="zh-CN"/>
              </w:rPr>
            </w:pPr>
            <w:r>
              <w:rPr>
                <w:rFonts w:hint="default" w:ascii="Times New Roman" w:hAnsi="Times New Roman" w:cs="Times New Roman"/>
                <w:color w:val="auto"/>
                <w:sz w:val="24"/>
                <w:szCs w:val="22"/>
                <w:highlight w:val="none"/>
                <w:vertAlign w:val="baseline"/>
                <w:lang w:val="en-US" w:eastAsia="zh-CN"/>
              </w:rPr>
              <w:t>用地分类</w:t>
            </w:r>
          </w:p>
        </w:tc>
        <w:tc>
          <w:tcPr>
            <w:tcW w:w="4663" w:type="dxa"/>
            <w:tcBorders>
              <w:top w:val="thinThickSmallGap" w:color="auto" w:sz="2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auto"/>
                <w:sz w:val="24"/>
                <w:szCs w:val="22"/>
                <w:highlight w:val="none"/>
                <w:vertAlign w:val="baseline"/>
                <w:lang w:val="en-US" w:eastAsia="zh-CN"/>
              </w:rPr>
            </w:pPr>
            <w:r>
              <w:rPr>
                <w:rFonts w:hint="default" w:ascii="Times New Roman" w:hAnsi="Times New Roman" w:cs="Times New Roman"/>
                <w:color w:val="auto"/>
                <w:sz w:val="24"/>
                <w:szCs w:val="22"/>
                <w:highlight w:val="none"/>
                <w:vertAlign w:val="baseline"/>
                <w:lang w:val="en-US" w:eastAsia="zh-CN"/>
              </w:rPr>
              <w:t>主要涉及行业</w:t>
            </w:r>
          </w:p>
        </w:tc>
        <w:tc>
          <w:tcPr>
            <w:tcW w:w="3063" w:type="dxa"/>
            <w:tcBorders>
              <w:top w:val="thinThickSmallGap" w:color="auto" w:sz="24" w:space="0"/>
              <w:right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auto"/>
                <w:sz w:val="24"/>
                <w:szCs w:val="22"/>
                <w:highlight w:val="none"/>
                <w:vertAlign w:val="baseline"/>
                <w:lang w:val="en-US" w:eastAsia="zh-CN"/>
              </w:rPr>
            </w:pPr>
            <w:r>
              <w:rPr>
                <w:rFonts w:hint="default" w:ascii="Times New Roman" w:hAnsi="Times New Roman" w:cs="Times New Roman"/>
                <w:color w:val="auto"/>
                <w:sz w:val="24"/>
                <w:szCs w:val="22"/>
                <w:highlight w:val="none"/>
                <w:vertAlign w:val="baseline"/>
                <w:lang w:val="en-US" w:eastAsia="zh-CN"/>
              </w:rPr>
              <w:t>耗天然气指标（Nm</w:t>
            </w:r>
            <w:r>
              <w:rPr>
                <w:rFonts w:hint="default" w:ascii="Times New Roman" w:hAnsi="Times New Roman" w:cs="Times New Roman"/>
                <w:color w:val="auto"/>
                <w:sz w:val="24"/>
                <w:szCs w:val="22"/>
                <w:highlight w:val="none"/>
                <w:vertAlign w:val="superscript"/>
                <w:lang w:val="en-US" w:eastAsia="zh-CN"/>
              </w:rPr>
              <w:t>3</w:t>
            </w:r>
            <w:r>
              <w:rPr>
                <w:rFonts w:hint="default" w:ascii="Times New Roman" w:hAnsi="Times New Roman" w:cs="Times New Roman"/>
                <w:color w:val="auto"/>
                <w:sz w:val="24"/>
                <w:szCs w:val="22"/>
                <w:highlight w:val="none"/>
                <w:vertAlign w:val="baseline"/>
                <w:lang w:val="en-US" w:eastAsia="zh-CN"/>
              </w:rPr>
              <w:t>/m</w:t>
            </w:r>
            <w:r>
              <w:rPr>
                <w:rFonts w:hint="default" w:ascii="Times New Roman" w:hAnsi="Times New Roman" w:cs="Times New Roman"/>
                <w:color w:val="auto"/>
                <w:sz w:val="24"/>
                <w:szCs w:val="22"/>
                <w:highlight w:val="none"/>
                <w:vertAlign w:val="superscript"/>
                <w:lang w:val="en-US" w:eastAsia="zh-CN"/>
              </w:rPr>
              <w:t>2</w:t>
            </w:r>
            <w:r>
              <w:rPr>
                <w:rFonts w:hint="default" w:ascii="Times New Roman" w:hAnsi="Times New Roman" w:cs="Times New Roman"/>
                <w:color w:val="auto"/>
                <w:sz w:val="24"/>
                <w:szCs w:val="22"/>
                <w:highlight w:val="none"/>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3" w:type="dxa"/>
            <w:tcBorders>
              <w:left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auto"/>
                <w:sz w:val="24"/>
                <w:szCs w:val="22"/>
                <w:highlight w:val="none"/>
                <w:vertAlign w:val="baseline"/>
                <w:lang w:val="en-US" w:eastAsia="zh-CN"/>
              </w:rPr>
            </w:pPr>
            <w:r>
              <w:rPr>
                <w:rFonts w:hint="default" w:ascii="Times New Roman" w:hAnsi="Times New Roman" w:cs="Times New Roman"/>
                <w:color w:val="auto"/>
                <w:sz w:val="24"/>
                <w:szCs w:val="22"/>
                <w:highlight w:val="none"/>
                <w:vertAlign w:val="baseline"/>
                <w:lang w:val="en-US" w:eastAsia="zh-CN"/>
              </w:rPr>
              <w:t>一类工业用地</w:t>
            </w:r>
          </w:p>
        </w:tc>
        <w:tc>
          <w:tcPr>
            <w:tcW w:w="4663"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szCs w:val="22"/>
                <w:highlight w:val="none"/>
                <w:vertAlign w:val="baseline"/>
              </w:rPr>
            </w:pPr>
            <w:r>
              <w:rPr>
                <w:rFonts w:hint="default" w:ascii="Times New Roman" w:hAnsi="Times New Roman" w:cs="Times New Roman"/>
                <w:color w:val="auto"/>
                <w:sz w:val="24"/>
                <w:szCs w:val="22"/>
                <w:highlight w:val="none"/>
                <w:vertAlign w:val="baseline"/>
              </w:rPr>
              <w:t>电子工业、缝纫工业、工艺品制造工业等</w:t>
            </w:r>
          </w:p>
        </w:tc>
        <w:tc>
          <w:tcPr>
            <w:tcW w:w="3063" w:type="dxa"/>
            <w:tcBorders>
              <w:right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auto"/>
                <w:sz w:val="24"/>
                <w:szCs w:val="22"/>
                <w:highlight w:val="none"/>
                <w:vertAlign w:val="baseline"/>
                <w:lang w:val="en-US" w:eastAsia="zh-CN"/>
              </w:rPr>
            </w:pPr>
            <w:r>
              <w:rPr>
                <w:rFonts w:hint="default" w:ascii="Times New Roman" w:hAnsi="Times New Roman" w:cs="Times New Roman"/>
                <w:color w:val="auto"/>
                <w:sz w:val="24"/>
                <w:szCs w:val="22"/>
                <w:highlight w:val="none"/>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3" w:type="dxa"/>
            <w:tcBorders>
              <w:left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auto"/>
                <w:sz w:val="24"/>
                <w:szCs w:val="22"/>
                <w:highlight w:val="none"/>
                <w:vertAlign w:val="baseline"/>
                <w:lang w:val="en-US" w:eastAsia="zh-CN"/>
              </w:rPr>
            </w:pPr>
            <w:r>
              <w:rPr>
                <w:rFonts w:hint="default" w:ascii="Times New Roman" w:hAnsi="Times New Roman" w:cs="Times New Roman"/>
                <w:color w:val="auto"/>
                <w:sz w:val="24"/>
                <w:szCs w:val="22"/>
                <w:highlight w:val="none"/>
                <w:vertAlign w:val="baseline"/>
                <w:lang w:val="en-US" w:eastAsia="zh-CN"/>
              </w:rPr>
              <w:t>二类工业用地</w:t>
            </w:r>
          </w:p>
        </w:tc>
        <w:tc>
          <w:tcPr>
            <w:tcW w:w="4663"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szCs w:val="22"/>
                <w:highlight w:val="none"/>
                <w:vertAlign w:val="baseline"/>
              </w:rPr>
            </w:pPr>
            <w:r>
              <w:rPr>
                <w:rFonts w:hint="default" w:ascii="Times New Roman" w:hAnsi="Times New Roman" w:cs="Times New Roman"/>
                <w:color w:val="auto"/>
                <w:sz w:val="24"/>
                <w:szCs w:val="22"/>
                <w:highlight w:val="none"/>
                <w:vertAlign w:val="baseline"/>
              </w:rPr>
              <w:t>食品工业、医药制造、纺织工业等</w:t>
            </w:r>
          </w:p>
        </w:tc>
        <w:tc>
          <w:tcPr>
            <w:tcW w:w="3063" w:type="dxa"/>
            <w:tcBorders>
              <w:right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auto"/>
                <w:sz w:val="24"/>
                <w:szCs w:val="22"/>
                <w:highlight w:val="none"/>
                <w:vertAlign w:val="baseline"/>
                <w:lang w:val="en-US" w:eastAsia="zh-CN"/>
              </w:rPr>
            </w:pPr>
            <w:r>
              <w:rPr>
                <w:rFonts w:hint="eastAsia" w:ascii="Times New Roman" w:hAnsi="Times New Roman" w:cs="Times New Roman"/>
                <w:color w:val="auto"/>
                <w:sz w:val="24"/>
                <w:szCs w:val="22"/>
                <w:highlight w:val="none"/>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3" w:type="dxa"/>
            <w:tcBorders>
              <w:left w:val="nil"/>
              <w:bottom w:val="thickThinSmallGap" w:color="auto" w:sz="2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auto"/>
                <w:sz w:val="24"/>
                <w:szCs w:val="22"/>
                <w:highlight w:val="none"/>
                <w:vertAlign w:val="baseline"/>
                <w:lang w:val="en-US" w:eastAsia="zh-CN"/>
              </w:rPr>
            </w:pPr>
            <w:r>
              <w:rPr>
                <w:rFonts w:hint="default" w:ascii="Times New Roman" w:hAnsi="Times New Roman" w:cs="Times New Roman"/>
                <w:color w:val="auto"/>
                <w:sz w:val="24"/>
                <w:szCs w:val="22"/>
                <w:highlight w:val="none"/>
                <w:vertAlign w:val="baseline"/>
                <w:lang w:val="en-US" w:eastAsia="zh-CN"/>
              </w:rPr>
              <w:t>三类工业用地</w:t>
            </w:r>
          </w:p>
        </w:tc>
        <w:tc>
          <w:tcPr>
            <w:tcW w:w="4663" w:type="dxa"/>
            <w:tcBorders>
              <w:bottom w:val="thickThinSmallGap" w:color="auto" w:sz="2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auto"/>
                <w:sz w:val="24"/>
                <w:szCs w:val="22"/>
                <w:highlight w:val="none"/>
                <w:vertAlign w:val="baseline"/>
                <w:lang w:val="en-US" w:eastAsia="zh-CN"/>
              </w:rPr>
            </w:pPr>
            <w:r>
              <w:rPr>
                <w:rFonts w:hint="default" w:ascii="Times New Roman" w:hAnsi="Times New Roman" w:cs="Times New Roman"/>
                <w:color w:val="auto"/>
                <w:sz w:val="24"/>
                <w:szCs w:val="22"/>
                <w:highlight w:val="none"/>
                <w:vertAlign w:val="baseline"/>
              </w:rPr>
              <w:t>采掘工业、冶金工业、</w:t>
            </w:r>
            <w:r>
              <w:rPr>
                <w:rFonts w:hint="default" w:ascii="Times New Roman" w:hAnsi="Times New Roman" w:cs="Times New Roman"/>
                <w:color w:val="auto"/>
                <w:sz w:val="24"/>
                <w:szCs w:val="22"/>
                <w:highlight w:val="none"/>
                <w:vertAlign w:val="baseline"/>
                <w:lang w:val="en-US" w:eastAsia="zh-CN"/>
              </w:rPr>
              <w:t>石油化工行业、</w:t>
            </w:r>
            <w:r>
              <w:rPr>
                <w:rFonts w:hint="default" w:ascii="Times New Roman" w:hAnsi="Times New Roman" w:cs="Times New Roman"/>
                <w:color w:val="auto"/>
                <w:sz w:val="24"/>
                <w:szCs w:val="22"/>
                <w:highlight w:val="none"/>
                <w:vertAlign w:val="baseline"/>
              </w:rPr>
              <w:t>大中型机械制造</w:t>
            </w:r>
            <w:r>
              <w:rPr>
                <w:rFonts w:hint="default" w:ascii="Times New Roman" w:hAnsi="Times New Roman" w:cs="Times New Roman"/>
                <w:color w:val="auto"/>
                <w:sz w:val="24"/>
                <w:szCs w:val="22"/>
                <w:highlight w:val="none"/>
                <w:vertAlign w:val="baseline"/>
                <w:lang w:eastAsia="zh-CN"/>
              </w:rPr>
              <w:t>、</w:t>
            </w:r>
            <w:r>
              <w:rPr>
                <w:rFonts w:hint="default" w:ascii="Times New Roman" w:hAnsi="Times New Roman" w:cs="Times New Roman"/>
                <w:color w:val="auto"/>
                <w:sz w:val="24"/>
                <w:szCs w:val="22"/>
                <w:highlight w:val="none"/>
                <w:vertAlign w:val="baseline"/>
                <w:lang w:val="en-US" w:eastAsia="zh-CN"/>
              </w:rPr>
              <w:t>装备制造</w:t>
            </w:r>
            <w:r>
              <w:rPr>
                <w:rFonts w:hint="default" w:ascii="Times New Roman" w:hAnsi="Times New Roman" w:cs="Times New Roman"/>
                <w:color w:val="auto"/>
                <w:sz w:val="24"/>
                <w:szCs w:val="22"/>
                <w:highlight w:val="none"/>
                <w:vertAlign w:val="baseline"/>
              </w:rPr>
              <w:t>工业</w:t>
            </w:r>
            <w:r>
              <w:rPr>
                <w:rFonts w:hint="default" w:ascii="Times New Roman" w:hAnsi="Times New Roman" w:cs="Times New Roman"/>
                <w:color w:val="auto"/>
                <w:sz w:val="24"/>
                <w:szCs w:val="22"/>
                <w:highlight w:val="none"/>
                <w:vertAlign w:val="baseline"/>
                <w:lang w:val="en-US" w:eastAsia="zh-CN"/>
              </w:rPr>
              <w:t>等</w:t>
            </w:r>
          </w:p>
        </w:tc>
        <w:tc>
          <w:tcPr>
            <w:tcW w:w="3063" w:type="dxa"/>
            <w:tcBorders>
              <w:bottom w:val="thickThinSmallGap" w:color="auto" w:sz="24" w:space="0"/>
              <w:right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auto"/>
                <w:sz w:val="24"/>
                <w:szCs w:val="22"/>
                <w:highlight w:val="none"/>
                <w:vertAlign w:val="baseline"/>
                <w:lang w:val="en-US" w:eastAsia="zh-CN"/>
              </w:rPr>
            </w:pPr>
            <w:r>
              <w:rPr>
                <w:rFonts w:hint="eastAsia" w:ascii="Times New Roman" w:hAnsi="Times New Roman" w:cs="Times New Roman"/>
                <w:color w:val="auto"/>
                <w:sz w:val="24"/>
                <w:szCs w:val="22"/>
                <w:highlight w:val="none"/>
                <w:vertAlign w:val="baseline"/>
                <w:lang w:val="en-US" w:eastAsia="zh-CN"/>
              </w:rPr>
              <w:t>10.0</w:t>
            </w:r>
          </w:p>
        </w:tc>
      </w:tr>
      <w:bookmarkEnd w:id="35"/>
    </w:tbl>
    <w:p>
      <w:pPr>
        <w:bidi w:val="0"/>
        <w:rPr>
          <w:rFonts w:hint="eastAsia"/>
          <w:color w:val="auto"/>
          <w:highlight w:val="none"/>
        </w:rPr>
      </w:pPr>
    </w:p>
    <w:p>
      <w:pPr>
        <w:spacing w:line="360" w:lineRule="auto"/>
        <w:ind w:firstLine="562" w:firstLineChars="200"/>
        <w:rPr>
          <w:rFonts w:ascii="Times New Roman" w:hAnsi="Times New Roman" w:eastAsia="宋体" w:cs="Times New Roman"/>
          <w:b/>
          <w:color w:val="auto"/>
          <w:sz w:val="28"/>
          <w:szCs w:val="28"/>
          <w:highlight w:val="none"/>
          <w:lang w:bidi="th-TH"/>
        </w:rPr>
      </w:pPr>
      <w:r>
        <w:rPr>
          <w:rFonts w:ascii="Times New Roman" w:hAnsi="Times New Roman" w:eastAsia="宋体" w:cs="Times New Roman"/>
          <w:b/>
          <w:color w:val="auto"/>
          <w:sz w:val="28"/>
          <w:szCs w:val="28"/>
          <w:highlight w:val="none"/>
          <w:lang w:bidi="th-TH"/>
        </w:rPr>
        <w:t>2、</w:t>
      </w:r>
      <w:r>
        <w:rPr>
          <w:rFonts w:hint="eastAsia" w:ascii="Times New Roman" w:hAnsi="Times New Roman" w:eastAsia="宋体" w:cs="Times New Roman"/>
          <w:b/>
          <w:color w:val="auto"/>
          <w:sz w:val="28"/>
          <w:szCs w:val="28"/>
          <w:highlight w:val="none"/>
          <w:lang w:val="en-US" w:eastAsia="zh-CN" w:bidi="th-TH"/>
        </w:rPr>
        <w:t>工业</w:t>
      </w:r>
      <w:r>
        <w:rPr>
          <w:rFonts w:ascii="Times New Roman" w:hAnsi="Times New Roman" w:eastAsia="宋体" w:cs="Times New Roman"/>
          <w:b/>
          <w:color w:val="auto"/>
          <w:sz w:val="28"/>
          <w:szCs w:val="28"/>
          <w:highlight w:val="none"/>
          <w:lang w:bidi="th-TH"/>
        </w:rPr>
        <w:t>用户高峰系数</w:t>
      </w:r>
    </w:p>
    <w:p>
      <w:pPr>
        <w:spacing w:line="360" w:lineRule="auto"/>
        <w:ind w:firstLine="560" w:firstLineChars="200"/>
        <w:rPr>
          <w:rFonts w:hint="eastAsia" w:ascii="Times New Roman" w:hAnsi="Times New Roman" w:cs="Times New Roman"/>
          <w:color w:val="auto"/>
          <w:sz w:val="28"/>
          <w:szCs w:val="28"/>
          <w:highlight w:val="none"/>
          <w:lang w:eastAsia="zh-CN" w:bidi="th-TH"/>
        </w:rPr>
      </w:pPr>
      <w:r>
        <w:rPr>
          <w:rFonts w:hint="eastAsia" w:ascii="Times New Roman" w:hAnsi="Times New Roman" w:cs="Times New Roman"/>
          <w:color w:val="auto"/>
          <w:sz w:val="28"/>
          <w:szCs w:val="28"/>
          <w:highlight w:val="none"/>
          <w:lang w:bidi="th-TH"/>
        </w:rPr>
        <w:t>工业企业用气量及用气高峰系数根据企业生产规模、耗气设备额定能力、燃烧效率及生产班制决定</w:t>
      </w:r>
      <w:r>
        <w:rPr>
          <w:rFonts w:hint="eastAsia" w:ascii="Times New Roman" w:hAnsi="Times New Roman" w:cs="Times New Roman"/>
          <w:color w:val="auto"/>
          <w:sz w:val="28"/>
          <w:szCs w:val="28"/>
          <w:highlight w:val="none"/>
          <w:lang w:eastAsia="zh-CN" w:bidi="th-TH"/>
        </w:rPr>
        <w:t>。</w:t>
      </w:r>
    </w:p>
    <w:p>
      <w:pPr>
        <w:spacing w:line="360" w:lineRule="auto"/>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表</w:t>
      </w:r>
      <w:r>
        <w:rPr>
          <w:rFonts w:hint="eastAsia" w:ascii="Times New Roman" w:hAnsi="Times New Roman" w:eastAsia="宋体" w:cs="Times New Roman"/>
          <w:b/>
          <w:color w:val="auto"/>
          <w:sz w:val="24"/>
          <w:highlight w:val="none"/>
          <w:lang w:val="en-US" w:eastAsia="zh-CN"/>
        </w:rPr>
        <w:t>2-3</w:t>
      </w:r>
      <w:r>
        <w:rPr>
          <w:rFonts w:ascii="Times New Roman" w:hAnsi="Times New Roman" w:eastAsia="宋体" w:cs="Times New Roman"/>
          <w:b/>
          <w:color w:val="auto"/>
          <w:sz w:val="24"/>
          <w:highlight w:val="none"/>
        </w:rPr>
        <w:t xml:space="preserve">  各类用气高峰系数</w:t>
      </w:r>
    </w:p>
    <w:tbl>
      <w:tblPr>
        <w:tblStyle w:val="28"/>
        <w:tblW w:w="10326" w:type="dxa"/>
        <w:jc w:val="center"/>
        <w:tblBorders>
          <w:top w:val="thinThickSmallGap" w:color="auto" w:sz="24" w:space="0"/>
          <w:left w:val="none" w:color="auto" w:sz="0" w:space="0"/>
          <w:bottom w:val="thinThickSmallGap" w:color="auto" w:sz="2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44"/>
        <w:gridCol w:w="2427"/>
        <w:gridCol w:w="2090"/>
        <w:gridCol w:w="2431"/>
        <w:gridCol w:w="2034"/>
      </w:tblGrid>
      <w:tr>
        <w:tblPrEx>
          <w:tblBorders>
            <w:top w:val="thinThickSmallGap" w:color="auto" w:sz="24" w:space="0"/>
            <w:left w:val="none" w:color="auto" w:sz="0" w:space="0"/>
            <w:bottom w:val="thinThickSmallGap" w:color="auto" w:sz="2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134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  号</w:t>
            </w:r>
          </w:p>
        </w:tc>
        <w:tc>
          <w:tcPr>
            <w:tcW w:w="242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用气类型</w:t>
            </w:r>
          </w:p>
        </w:tc>
        <w:tc>
          <w:tcPr>
            <w:tcW w:w="209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月高峰系数</w:t>
            </w:r>
          </w:p>
        </w:tc>
        <w:tc>
          <w:tcPr>
            <w:tcW w:w="24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日高峰系数</w:t>
            </w:r>
          </w:p>
        </w:tc>
        <w:tc>
          <w:tcPr>
            <w:tcW w:w="203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小时高峰系数</w:t>
            </w:r>
          </w:p>
        </w:tc>
      </w:tr>
      <w:tr>
        <w:tblPrEx>
          <w:tblBorders>
            <w:top w:val="thinThickSmallGap" w:color="auto" w:sz="24" w:space="0"/>
            <w:left w:val="none" w:color="auto" w:sz="0" w:space="0"/>
            <w:bottom w:val="thinThickSmallGap" w:color="auto" w:sz="2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44"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w:t>
            </w:r>
          </w:p>
        </w:tc>
        <w:tc>
          <w:tcPr>
            <w:tcW w:w="242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工业用气</w:t>
            </w:r>
          </w:p>
        </w:tc>
        <w:tc>
          <w:tcPr>
            <w:tcW w:w="2090"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rPr>
              <w:t>1.</w:t>
            </w:r>
            <w:r>
              <w:rPr>
                <w:rFonts w:hint="eastAsia" w:ascii="Times New Roman" w:hAnsi="Times New Roman" w:eastAsia="宋体" w:cs="Times New Roman"/>
                <w:color w:val="auto"/>
                <w:kern w:val="0"/>
                <w:sz w:val="24"/>
                <w:highlight w:val="none"/>
                <w:lang w:val="en-US" w:eastAsia="zh-CN"/>
              </w:rPr>
              <w:t>20</w:t>
            </w:r>
          </w:p>
        </w:tc>
        <w:tc>
          <w:tcPr>
            <w:tcW w:w="2431"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kern w:val="0"/>
                <w:sz w:val="24"/>
                <w:highlight w:val="none"/>
                <w:lang w:val="zh-CN"/>
              </w:rPr>
            </w:pPr>
            <w:r>
              <w:rPr>
                <w:rFonts w:hint="eastAsia" w:ascii="Times New Roman" w:hAnsi="Times New Roman" w:eastAsia="宋体" w:cs="Times New Roman"/>
                <w:color w:val="auto"/>
                <w:kern w:val="0"/>
                <w:sz w:val="24"/>
                <w:highlight w:val="none"/>
              </w:rPr>
              <w:t>1.</w:t>
            </w:r>
            <w:r>
              <w:rPr>
                <w:rFonts w:hint="default" w:ascii="Times New Roman" w:hAnsi="Times New Roman" w:eastAsia="宋体" w:cs="Times New Roman"/>
                <w:color w:val="auto"/>
                <w:kern w:val="0"/>
                <w:sz w:val="24"/>
                <w:highlight w:val="none"/>
              </w:rPr>
              <w:t>10</w:t>
            </w:r>
          </w:p>
        </w:tc>
        <w:tc>
          <w:tcPr>
            <w:tcW w:w="2034"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2.00</w:t>
            </w:r>
          </w:p>
        </w:tc>
      </w:tr>
    </w:tbl>
    <w:p>
      <w:pPr>
        <w:bidi w:val="0"/>
        <w:rPr>
          <w:color w:val="auto"/>
          <w:highlight w:val="none"/>
        </w:rPr>
      </w:pPr>
    </w:p>
    <w:p>
      <w:pPr>
        <w:spacing w:line="360" w:lineRule="auto"/>
        <w:ind w:firstLine="562" w:firstLineChars="200"/>
        <w:rPr>
          <w:rFonts w:ascii="Times New Roman" w:hAnsi="Times New Roman" w:eastAsia="宋体" w:cs="Times New Roman"/>
          <w:b/>
          <w:color w:val="auto"/>
          <w:sz w:val="28"/>
          <w:szCs w:val="28"/>
          <w:highlight w:val="none"/>
          <w:lang w:bidi="th-TH"/>
        </w:rPr>
      </w:pPr>
      <w:r>
        <w:rPr>
          <w:rFonts w:hint="eastAsia" w:ascii="Times New Roman" w:hAnsi="Times New Roman" w:eastAsia="宋体" w:cs="Times New Roman"/>
          <w:b/>
          <w:color w:val="auto"/>
          <w:sz w:val="28"/>
          <w:szCs w:val="28"/>
          <w:highlight w:val="none"/>
          <w:lang w:bidi="th-TH"/>
        </w:rPr>
        <w:t>3、</w:t>
      </w:r>
      <w:r>
        <w:rPr>
          <w:rFonts w:hint="eastAsia" w:ascii="Times New Roman" w:hAnsi="Times New Roman" w:eastAsia="宋体" w:cs="Times New Roman"/>
          <w:b/>
          <w:color w:val="auto"/>
          <w:sz w:val="28"/>
          <w:szCs w:val="28"/>
          <w:highlight w:val="none"/>
          <w:lang w:val="en-US" w:eastAsia="zh-CN" w:bidi="th-TH"/>
        </w:rPr>
        <w:t>工业用户</w:t>
      </w:r>
      <w:r>
        <w:rPr>
          <w:rFonts w:ascii="Times New Roman" w:hAnsi="Times New Roman" w:eastAsia="宋体" w:cs="Times New Roman"/>
          <w:b/>
          <w:color w:val="auto"/>
          <w:sz w:val="28"/>
          <w:szCs w:val="28"/>
          <w:highlight w:val="none"/>
          <w:lang w:bidi="th-TH"/>
        </w:rPr>
        <w:t>用气量预测</w:t>
      </w:r>
    </w:p>
    <w:p>
      <w:pPr>
        <w:spacing w:line="360" w:lineRule="auto"/>
        <w:ind w:firstLine="560" w:firstLineChars="200"/>
        <w:rPr>
          <w:rFonts w:hint="eastAsia" w:ascii="Times New Roman" w:hAnsi="Times New Roman" w:eastAsia="宋体" w:cs="Times New Roman"/>
          <w:color w:val="auto"/>
          <w:sz w:val="28"/>
          <w:szCs w:val="28"/>
          <w:highlight w:val="none"/>
          <w:lang w:bidi="th-TH"/>
        </w:rPr>
      </w:pPr>
      <w:r>
        <w:rPr>
          <w:rFonts w:hint="eastAsia" w:ascii="Times New Roman" w:hAnsi="Times New Roman" w:eastAsia="宋体" w:cs="Times New Roman"/>
          <w:color w:val="auto"/>
          <w:sz w:val="28"/>
          <w:szCs w:val="28"/>
          <w:highlight w:val="none"/>
          <w:lang w:bidi="th-TH"/>
        </w:rPr>
        <w:t>本规划</w:t>
      </w:r>
      <w:r>
        <w:rPr>
          <w:rFonts w:hint="eastAsia" w:ascii="Times New Roman" w:hAnsi="Times New Roman" w:eastAsia="宋体" w:cs="Times New Roman"/>
          <w:color w:val="auto"/>
          <w:sz w:val="28"/>
          <w:szCs w:val="28"/>
          <w:highlight w:val="none"/>
          <w:lang w:val="en-US" w:eastAsia="zh-CN" w:bidi="th-TH"/>
        </w:rPr>
        <w:t>根据</w:t>
      </w:r>
      <w:r>
        <w:rPr>
          <w:rFonts w:hint="eastAsia" w:ascii="Times New Roman" w:hAnsi="Times New Roman" w:eastAsia="宋体" w:cs="Times New Roman"/>
          <w:color w:val="auto"/>
          <w:sz w:val="28"/>
          <w:szCs w:val="28"/>
          <w:highlight w:val="none"/>
          <w:lang w:eastAsia="zh-CN" w:bidi="th-TH"/>
        </w:rPr>
        <w:t>《</w:t>
      </w:r>
      <w:r>
        <w:rPr>
          <w:rFonts w:hint="eastAsia" w:ascii="Times New Roman" w:hAnsi="Times New Roman" w:cs="Times New Roman"/>
          <w:color w:val="auto"/>
          <w:sz w:val="28"/>
          <w:szCs w:val="24"/>
          <w:highlight w:val="none"/>
          <w:lang w:eastAsia="zh-CN"/>
        </w:rPr>
        <w:t>抚顺高新</w:t>
      </w:r>
      <w:r>
        <w:rPr>
          <w:rFonts w:hint="eastAsia" w:ascii="Times New Roman" w:hAnsi="Times New Roman" w:cs="Times New Roman"/>
          <w:color w:val="auto"/>
          <w:sz w:val="28"/>
          <w:szCs w:val="24"/>
          <w:highlight w:val="none"/>
          <w:lang w:val="en-US" w:eastAsia="zh-CN"/>
        </w:rPr>
        <w:t>技术产业开发区国土空间规划</w:t>
      </w:r>
      <w:r>
        <w:rPr>
          <w:rFonts w:hint="eastAsia" w:ascii="Times New Roman" w:hAnsi="Times New Roman" w:cs="Times New Roman"/>
          <w:color w:val="auto"/>
          <w:sz w:val="28"/>
          <w:szCs w:val="24"/>
          <w:highlight w:val="none"/>
          <w:lang w:eastAsia="zh-CN"/>
        </w:rPr>
        <w:t>（20</w:t>
      </w:r>
      <w:r>
        <w:rPr>
          <w:rFonts w:hint="eastAsia" w:ascii="Times New Roman" w:hAnsi="Times New Roman" w:cs="Times New Roman"/>
          <w:color w:val="auto"/>
          <w:sz w:val="28"/>
          <w:szCs w:val="24"/>
          <w:highlight w:val="none"/>
          <w:lang w:val="en-US" w:eastAsia="zh-CN"/>
        </w:rPr>
        <w:t>21-2035年</w:t>
      </w:r>
      <w:r>
        <w:rPr>
          <w:rFonts w:hint="eastAsia" w:ascii="Times New Roman" w:hAnsi="Times New Roman" w:cs="Times New Roman"/>
          <w:color w:val="auto"/>
          <w:sz w:val="28"/>
          <w:szCs w:val="24"/>
          <w:highlight w:val="none"/>
          <w:lang w:eastAsia="zh-CN"/>
        </w:rPr>
        <w:t>）</w:t>
      </w:r>
      <w:r>
        <w:rPr>
          <w:rFonts w:hint="eastAsia" w:ascii="Times New Roman" w:hAnsi="Times New Roman" w:eastAsia="宋体" w:cs="Times New Roman"/>
          <w:color w:val="auto"/>
          <w:sz w:val="28"/>
          <w:szCs w:val="28"/>
          <w:highlight w:val="none"/>
          <w:lang w:eastAsia="zh-CN" w:bidi="th-TH"/>
        </w:rPr>
        <w:t>》</w:t>
      </w:r>
      <w:r>
        <w:rPr>
          <w:rFonts w:hint="eastAsia" w:ascii="Times New Roman" w:hAnsi="Times New Roman" w:eastAsia="宋体" w:cs="Times New Roman"/>
          <w:color w:val="auto"/>
          <w:sz w:val="28"/>
          <w:szCs w:val="28"/>
          <w:highlight w:val="none"/>
          <w:lang w:bidi="th-TH"/>
        </w:rPr>
        <w:t>一、二、三类工业用地的面积，并结合近五年工业用气增长率，</w:t>
      </w:r>
      <w:r>
        <w:rPr>
          <w:rFonts w:hint="eastAsia" w:ascii="Times New Roman" w:hAnsi="Times New Roman" w:eastAsia="宋体" w:cs="Times New Roman"/>
          <w:color w:val="0000FF"/>
          <w:sz w:val="28"/>
          <w:szCs w:val="28"/>
          <w:highlight w:val="none"/>
          <w:lang w:bidi="th-TH"/>
        </w:rPr>
        <w:t>综合得出</w:t>
      </w:r>
      <w:r>
        <w:rPr>
          <w:rFonts w:hint="eastAsia" w:ascii="Times New Roman" w:hAnsi="Times New Roman" w:eastAsia="宋体" w:cs="Times New Roman"/>
          <w:color w:val="0000FF"/>
          <w:sz w:val="28"/>
          <w:szCs w:val="28"/>
          <w:highlight w:val="none"/>
          <w:lang w:val="en-US" w:eastAsia="zh-CN" w:bidi="th-TH"/>
        </w:rPr>
        <w:t>2025年、2030年和2035年</w:t>
      </w:r>
      <w:r>
        <w:rPr>
          <w:rFonts w:hint="eastAsia" w:ascii="Times New Roman" w:hAnsi="Times New Roman" w:eastAsia="宋体" w:cs="Times New Roman"/>
          <w:color w:val="0000FF"/>
          <w:sz w:val="28"/>
          <w:szCs w:val="28"/>
          <w:highlight w:val="none"/>
          <w:lang w:bidi="th-TH"/>
        </w:rPr>
        <w:t>工业用气量。</w:t>
      </w:r>
    </w:p>
    <w:p>
      <w:pPr>
        <w:spacing w:line="360" w:lineRule="auto"/>
        <w:jc w:val="center"/>
        <w:rPr>
          <w:rFonts w:ascii="Times New Roman" w:hAnsi="Times New Roman" w:cs="Times New Roman"/>
          <w:b/>
          <w:bCs/>
          <w:color w:val="auto"/>
          <w:sz w:val="24"/>
          <w:highlight w:val="none"/>
          <w:lang w:bidi="th-TH"/>
        </w:rPr>
      </w:pPr>
      <w:r>
        <w:rPr>
          <w:rFonts w:hint="eastAsia" w:ascii="Times New Roman" w:hAnsi="Times New Roman" w:cs="Times New Roman"/>
          <w:b/>
          <w:bCs/>
          <w:color w:val="auto"/>
          <w:sz w:val="24"/>
          <w:highlight w:val="none"/>
          <w:lang w:bidi="th-TH"/>
        </w:rPr>
        <w:t>表</w:t>
      </w:r>
      <w:r>
        <w:rPr>
          <w:rFonts w:hint="eastAsia" w:ascii="Times New Roman" w:hAnsi="Times New Roman" w:cs="Times New Roman"/>
          <w:b/>
          <w:bCs/>
          <w:color w:val="auto"/>
          <w:sz w:val="24"/>
          <w:highlight w:val="none"/>
          <w:lang w:val="en-US" w:eastAsia="zh-CN" w:bidi="th-TH"/>
        </w:rPr>
        <w:t>2-4</w:t>
      </w:r>
      <w:r>
        <w:rPr>
          <w:rFonts w:ascii="Times New Roman" w:hAnsi="Times New Roman" w:cs="Times New Roman"/>
          <w:b/>
          <w:bCs/>
          <w:color w:val="auto"/>
          <w:sz w:val="24"/>
          <w:highlight w:val="none"/>
          <w:lang w:bidi="th-TH"/>
        </w:rPr>
        <w:t xml:space="preserve">  </w:t>
      </w:r>
      <w:r>
        <w:rPr>
          <w:rFonts w:hint="eastAsia" w:ascii="Times New Roman" w:hAnsi="Times New Roman" w:cs="Times New Roman"/>
          <w:b/>
          <w:bCs/>
          <w:color w:val="auto"/>
          <w:sz w:val="24"/>
          <w:highlight w:val="none"/>
          <w:lang w:bidi="th-TH"/>
        </w:rPr>
        <w:t>工业用户用气量预测</w:t>
      </w:r>
    </w:p>
    <w:tbl>
      <w:tblPr>
        <w:tblStyle w:val="28"/>
        <w:tblW w:w="4999" w:type="pct"/>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1200"/>
        <w:gridCol w:w="2287"/>
        <w:gridCol w:w="1200"/>
        <w:gridCol w:w="2287"/>
        <w:gridCol w:w="1206"/>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5" w:type="pct"/>
            <w:gridSpan w:val="2"/>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0000FF"/>
                <w:kern w:val="0"/>
                <w:sz w:val="24"/>
                <w:highlight w:val="none"/>
                <w:lang w:val="zh-CN" w:eastAsia="zh-CN"/>
              </w:rPr>
            </w:pPr>
            <w:r>
              <w:rPr>
                <w:rFonts w:hint="eastAsia" w:ascii="Times New Roman" w:hAnsi="Times New Roman" w:eastAsia="宋体" w:cs="Times New Roman"/>
                <w:color w:val="0000FF"/>
                <w:kern w:val="0"/>
                <w:sz w:val="24"/>
                <w:highlight w:val="none"/>
                <w:lang w:val="en-US" w:eastAsia="zh-CN"/>
              </w:rPr>
              <w:t>2025年</w:t>
            </w:r>
          </w:p>
        </w:tc>
        <w:tc>
          <w:tcPr>
            <w:tcW w:w="1665" w:type="pct"/>
            <w:gridSpan w:val="2"/>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FF"/>
                <w:kern w:val="0"/>
                <w:sz w:val="24"/>
                <w:highlight w:val="none"/>
                <w:lang w:val="en-US" w:eastAsia="zh-CN"/>
              </w:rPr>
            </w:pPr>
            <w:r>
              <w:rPr>
                <w:rFonts w:hint="eastAsia" w:ascii="Times New Roman" w:hAnsi="Times New Roman" w:eastAsia="宋体" w:cs="Times New Roman"/>
                <w:color w:val="0000FF"/>
                <w:kern w:val="0"/>
                <w:sz w:val="24"/>
                <w:highlight w:val="none"/>
                <w:lang w:val="en-US" w:eastAsia="zh-CN"/>
              </w:rPr>
              <w:t>2030年</w:t>
            </w:r>
          </w:p>
        </w:tc>
        <w:tc>
          <w:tcPr>
            <w:tcW w:w="1668" w:type="pct"/>
            <w:gridSpan w:val="2"/>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0000FF"/>
                <w:kern w:val="0"/>
                <w:sz w:val="24"/>
                <w:highlight w:val="none"/>
                <w:lang w:val="zh-CN" w:eastAsia="zh-CN"/>
              </w:rPr>
            </w:pPr>
            <w:r>
              <w:rPr>
                <w:rFonts w:hint="eastAsia" w:ascii="Times New Roman" w:hAnsi="Times New Roman" w:eastAsia="宋体" w:cs="Times New Roman"/>
                <w:color w:val="0000FF"/>
                <w:kern w:val="0"/>
                <w:sz w:val="24"/>
                <w:highlight w:val="none"/>
                <w:lang w:val="en-US" w:eastAsia="zh-CN"/>
              </w:rPr>
              <w:t>2035年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0000FF"/>
                <w:kern w:val="0"/>
                <w:sz w:val="24"/>
                <w:highlight w:val="none"/>
                <w:lang w:val="en-US" w:eastAsia="zh-CN"/>
              </w:rPr>
            </w:pPr>
            <w:r>
              <w:rPr>
                <w:rFonts w:hint="eastAsia" w:ascii="Times New Roman" w:hAnsi="Times New Roman" w:eastAsia="宋体" w:cs="Times New Roman"/>
                <w:color w:val="0000FF"/>
                <w:kern w:val="0"/>
                <w:sz w:val="24"/>
                <w:highlight w:val="none"/>
                <w:lang w:val="en-US" w:eastAsia="zh-CN"/>
              </w:rPr>
              <w:t>工业用户用气量（10</w:t>
            </w:r>
            <w:r>
              <w:rPr>
                <w:rFonts w:hint="eastAsia" w:ascii="Times New Roman" w:hAnsi="Times New Roman" w:eastAsia="宋体" w:cs="Times New Roman"/>
                <w:color w:val="0000FF"/>
                <w:kern w:val="0"/>
                <w:sz w:val="24"/>
                <w:highlight w:val="none"/>
                <w:vertAlign w:val="superscript"/>
                <w:lang w:val="en-US" w:eastAsia="zh-CN"/>
              </w:rPr>
              <w:t>4</w:t>
            </w:r>
            <w:r>
              <w:rPr>
                <w:rFonts w:hint="eastAsia" w:ascii="Times New Roman" w:hAnsi="Times New Roman" w:eastAsia="宋体" w:cs="Times New Roman"/>
                <w:color w:val="0000FF"/>
                <w:kern w:val="0"/>
                <w:sz w:val="24"/>
                <w:highlight w:val="none"/>
                <w:lang w:val="en-US" w:eastAsia="zh-CN"/>
              </w:rPr>
              <w:t>Nm</w:t>
            </w:r>
            <w:r>
              <w:rPr>
                <w:rFonts w:hint="eastAsia" w:ascii="Times New Roman" w:hAnsi="Times New Roman" w:eastAsia="宋体" w:cs="Times New Roman"/>
                <w:color w:val="0000FF"/>
                <w:kern w:val="0"/>
                <w:sz w:val="24"/>
                <w:highlight w:val="none"/>
                <w:vertAlign w:val="superscript"/>
                <w:lang w:val="en-US" w:eastAsia="zh-CN"/>
              </w:rPr>
              <w:t>3</w:t>
            </w:r>
            <w:r>
              <w:rPr>
                <w:rFonts w:hint="eastAsia" w:ascii="Times New Roman" w:hAnsi="Times New Roman" w:eastAsia="宋体" w:cs="Times New Roman"/>
                <w:color w:val="0000FF"/>
                <w:kern w:val="0"/>
                <w:sz w:val="24"/>
                <w:highlight w:val="none"/>
                <w:lang w:val="en-US" w:eastAsia="zh-CN"/>
              </w:rPr>
              <w:t>/a）</w:t>
            </w:r>
          </w:p>
        </w:tc>
        <w:tc>
          <w:tcPr>
            <w:tcW w:w="573"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FF"/>
                <w:kern w:val="0"/>
                <w:sz w:val="24"/>
                <w:highlight w:val="none"/>
                <w:lang w:val="en-US" w:eastAsia="zh-CN"/>
              </w:rPr>
            </w:pPr>
            <w:r>
              <w:rPr>
                <w:rFonts w:hint="eastAsia" w:ascii="Times New Roman" w:hAnsi="Times New Roman" w:eastAsia="宋体" w:cs="Times New Roman"/>
                <w:color w:val="0000FF"/>
                <w:kern w:val="0"/>
                <w:sz w:val="24"/>
                <w:highlight w:val="none"/>
                <w:lang w:val="en-US" w:eastAsia="zh-CN"/>
              </w:rPr>
              <w:t>气化率（%）</w:t>
            </w:r>
          </w:p>
        </w:tc>
        <w:tc>
          <w:tcPr>
            <w:tcW w:w="109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0000FF"/>
                <w:kern w:val="0"/>
                <w:sz w:val="24"/>
                <w:highlight w:val="none"/>
                <w:lang w:val="en-US" w:eastAsia="zh-CN"/>
              </w:rPr>
            </w:pPr>
            <w:r>
              <w:rPr>
                <w:rFonts w:hint="eastAsia" w:ascii="Times New Roman" w:hAnsi="Times New Roman" w:eastAsia="宋体" w:cs="Times New Roman"/>
                <w:color w:val="0000FF"/>
                <w:kern w:val="0"/>
                <w:sz w:val="24"/>
                <w:highlight w:val="none"/>
                <w:lang w:val="en-US" w:eastAsia="zh-CN"/>
              </w:rPr>
              <w:t>工业用户用气量（10</w:t>
            </w:r>
            <w:r>
              <w:rPr>
                <w:rFonts w:hint="eastAsia" w:ascii="Times New Roman" w:hAnsi="Times New Roman" w:eastAsia="宋体" w:cs="Times New Roman"/>
                <w:color w:val="0000FF"/>
                <w:kern w:val="0"/>
                <w:sz w:val="24"/>
                <w:highlight w:val="none"/>
                <w:vertAlign w:val="superscript"/>
                <w:lang w:val="en-US" w:eastAsia="zh-CN"/>
              </w:rPr>
              <w:t>4</w:t>
            </w:r>
            <w:r>
              <w:rPr>
                <w:rFonts w:hint="eastAsia" w:ascii="Times New Roman" w:hAnsi="Times New Roman" w:eastAsia="宋体" w:cs="Times New Roman"/>
                <w:color w:val="0000FF"/>
                <w:kern w:val="0"/>
                <w:sz w:val="24"/>
                <w:highlight w:val="none"/>
                <w:lang w:val="en-US" w:eastAsia="zh-CN"/>
              </w:rPr>
              <w:t>Nm</w:t>
            </w:r>
            <w:r>
              <w:rPr>
                <w:rFonts w:hint="eastAsia" w:ascii="Times New Roman" w:hAnsi="Times New Roman" w:eastAsia="宋体" w:cs="Times New Roman"/>
                <w:color w:val="0000FF"/>
                <w:kern w:val="0"/>
                <w:sz w:val="24"/>
                <w:highlight w:val="none"/>
                <w:vertAlign w:val="superscript"/>
                <w:lang w:val="en-US" w:eastAsia="zh-CN"/>
              </w:rPr>
              <w:t>3</w:t>
            </w:r>
            <w:r>
              <w:rPr>
                <w:rFonts w:hint="eastAsia" w:ascii="Times New Roman" w:hAnsi="Times New Roman" w:eastAsia="宋体" w:cs="Times New Roman"/>
                <w:color w:val="0000FF"/>
                <w:kern w:val="0"/>
                <w:sz w:val="24"/>
                <w:highlight w:val="none"/>
                <w:lang w:val="en-US" w:eastAsia="zh-CN"/>
              </w:rPr>
              <w:t>/a）</w:t>
            </w:r>
          </w:p>
        </w:tc>
        <w:tc>
          <w:tcPr>
            <w:tcW w:w="573"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0000FF"/>
                <w:kern w:val="0"/>
                <w:sz w:val="24"/>
                <w:highlight w:val="none"/>
                <w:lang w:val="en-US" w:eastAsia="zh-CN"/>
              </w:rPr>
            </w:pPr>
            <w:r>
              <w:rPr>
                <w:rFonts w:hint="eastAsia" w:ascii="Times New Roman" w:hAnsi="Times New Roman" w:eastAsia="宋体" w:cs="Times New Roman"/>
                <w:color w:val="0000FF"/>
                <w:kern w:val="0"/>
                <w:sz w:val="24"/>
                <w:highlight w:val="none"/>
                <w:lang w:val="en-US" w:eastAsia="zh-CN"/>
              </w:rPr>
              <w:t>气化率（%）</w:t>
            </w:r>
          </w:p>
        </w:tc>
        <w:tc>
          <w:tcPr>
            <w:tcW w:w="109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0000FF"/>
                <w:kern w:val="0"/>
                <w:sz w:val="24"/>
                <w:highlight w:val="none"/>
                <w:lang w:val="en-US" w:eastAsia="zh-CN"/>
              </w:rPr>
            </w:pPr>
            <w:r>
              <w:rPr>
                <w:rFonts w:hint="eastAsia" w:ascii="Times New Roman" w:hAnsi="Times New Roman" w:eastAsia="宋体" w:cs="Times New Roman"/>
                <w:color w:val="0000FF"/>
                <w:kern w:val="0"/>
                <w:sz w:val="24"/>
                <w:highlight w:val="none"/>
                <w:lang w:val="en-US" w:eastAsia="zh-CN"/>
              </w:rPr>
              <w:t>工业用户用气量（10</w:t>
            </w:r>
            <w:r>
              <w:rPr>
                <w:rFonts w:hint="eastAsia" w:ascii="Times New Roman" w:hAnsi="Times New Roman" w:eastAsia="宋体" w:cs="Times New Roman"/>
                <w:color w:val="0000FF"/>
                <w:kern w:val="0"/>
                <w:sz w:val="24"/>
                <w:highlight w:val="none"/>
                <w:vertAlign w:val="superscript"/>
                <w:lang w:val="en-US" w:eastAsia="zh-CN"/>
              </w:rPr>
              <w:t>4</w:t>
            </w:r>
            <w:r>
              <w:rPr>
                <w:rFonts w:hint="eastAsia" w:ascii="Times New Roman" w:hAnsi="Times New Roman" w:eastAsia="宋体" w:cs="Times New Roman"/>
                <w:color w:val="0000FF"/>
                <w:kern w:val="0"/>
                <w:sz w:val="24"/>
                <w:highlight w:val="none"/>
                <w:lang w:val="en-US" w:eastAsia="zh-CN"/>
              </w:rPr>
              <w:t>Nm</w:t>
            </w:r>
            <w:r>
              <w:rPr>
                <w:rFonts w:hint="eastAsia" w:ascii="Times New Roman" w:hAnsi="Times New Roman" w:eastAsia="宋体" w:cs="Times New Roman"/>
                <w:color w:val="0000FF"/>
                <w:kern w:val="0"/>
                <w:sz w:val="24"/>
                <w:highlight w:val="none"/>
                <w:vertAlign w:val="superscript"/>
                <w:lang w:val="en-US" w:eastAsia="zh-CN"/>
              </w:rPr>
              <w:t>3</w:t>
            </w:r>
            <w:r>
              <w:rPr>
                <w:rFonts w:hint="eastAsia" w:ascii="Times New Roman" w:hAnsi="Times New Roman" w:eastAsia="宋体" w:cs="Times New Roman"/>
                <w:color w:val="0000FF"/>
                <w:kern w:val="0"/>
                <w:sz w:val="24"/>
                <w:highlight w:val="none"/>
                <w:lang w:val="en-US" w:eastAsia="zh-CN"/>
              </w:rPr>
              <w:t>/a）</w:t>
            </w:r>
          </w:p>
        </w:tc>
        <w:tc>
          <w:tcPr>
            <w:tcW w:w="576"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0000FF"/>
                <w:kern w:val="0"/>
                <w:sz w:val="24"/>
                <w:highlight w:val="none"/>
                <w:lang w:val="en-US" w:eastAsia="zh-CN"/>
              </w:rPr>
            </w:pPr>
            <w:r>
              <w:rPr>
                <w:rFonts w:hint="eastAsia" w:ascii="Times New Roman" w:hAnsi="Times New Roman" w:eastAsia="宋体" w:cs="Times New Roman"/>
                <w:color w:val="0000FF"/>
                <w:kern w:val="0"/>
                <w:sz w:val="24"/>
                <w:highlight w:val="none"/>
                <w:lang w:val="en-US" w:eastAsia="zh-CN"/>
              </w:rPr>
              <w:t>气化率（%）</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FF"/>
                <w:kern w:val="0"/>
                <w:sz w:val="24"/>
                <w:highlight w:val="none"/>
                <w:lang w:val="en-US" w:eastAsia="zh-CN"/>
              </w:rPr>
            </w:pPr>
            <w:r>
              <w:rPr>
                <w:rFonts w:hint="eastAsia" w:ascii="Times New Roman" w:hAnsi="Times New Roman" w:eastAsia="宋体" w:cs="Times New Roman"/>
                <w:color w:val="0000FF"/>
                <w:kern w:val="0"/>
                <w:sz w:val="24"/>
                <w:highlight w:val="none"/>
                <w:lang w:val="en-US" w:eastAsia="zh-CN"/>
              </w:rPr>
              <w:t>9274.30</w:t>
            </w:r>
          </w:p>
        </w:tc>
        <w:tc>
          <w:tcPr>
            <w:tcW w:w="573"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FF"/>
                <w:kern w:val="0"/>
                <w:sz w:val="24"/>
                <w:highlight w:val="none"/>
                <w:lang w:val="en-US" w:eastAsia="zh-CN"/>
              </w:rPr>
            </w:pPr>
            <w:r>
              <w:rPr>
                <w:rFonts w:hint="eastAsia" w:ascii="Times New Roman" w:hAnsi="Times New Roman" w:eastAsia="宋体" w:cs="Times New Roman"/>
                <w:color w:val="0000FF"/>
                <w:kern w:val="0"/>
                <w:sz w:val="24"/>
                <w:highlight w:val="none"/>
                <w:lang w:val="en-US" w:eastAsia="zh-CN"/>
              </w:rPr>
              <w:t>50%</w:t>
            </w:r>
          </w:p>
        </w:tc>
        <w:tc>
          <w:tcPr>
            <w:tcW w:w="109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FF"/>
                <w:kern w:val="0"/>
                <w:sz w:val="24"/>
                <w:highlight w:val="none"/>
                <w:lang w:val="en-US" w:eastAsia="zh-CN"/>
              </w:rPr>
            </w:pPr>
            <w:r>
              <w:rPr>
                <w:rFonts w:hint="eastAsia" w:ascii="Times New Roman" w:hAnsi="Times New Roman" w:eastAsia="宋体" w:cs="Times New Roman"/>
                <w:color w:val="0000FF"/>
                <w:kern w:val="0"/>
                <w:sz w:val="24"/>
                <w:highlight w:val="none"/>
                <w:lang w:val="en-US" w:eastAsia="zh-CN"/>
              </w:rPr>
              <w:t>14029.73</w:t>
            </w:r>
          </w:p>
        </w:tc>
        <w:tc>
          <w:tcPr>
            <w:tcW w:w="573"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0000FF"/>
                <w:kern w:val="0"/>
                <w:sz w:val="24"/>
                <w:highlight w:val="none"/>
                <w:lang w:val="en-US" w:eastAsia="zh-CN"/>
              </w:rPr>
            </w:pPr>
            <w:r>
              <w:rPr>
                <w:rFonts w:hint="eastAsia" w:ascii="Times New Roman" w:hAnsi="Times New Roman" w:eastAsia="宋体" w:cs="Times New Roman"/>
                <w:color w:val="0000FF"/>
                <w:kern w:val="0"/>
                <w:sz w:val="24"/>
                <w:highlight w:val="none"/>
                <w:lang w:val="en-US" w:eastAsia="zh-CN"/>
              </w:rPr>
              <w:t>75%</w:t>
            </w:r>
          </w:p>
        </w:tc>
        <w:tc>
          <w:tcPr>
            <w:tcW w:w="109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FF"/>
                <w:kern w:val="0"/>
                <w:sz w:val="24"/>
                <w:highlight w:val="none"/>
                <w:lang w:val="en-US" w:eastAsia="zh-CN"/>
              </w:rPr>
            </w:pPr>
            <w:r>
              <w:rPr>
                <w:rFonts w:hint="eastAsia" w:ascii="Times New Roman" w:hAnsi="Times New Roman" w:eastAsia="宋体" w:cs="Times New Roman"/>
                <w:color w:val="0000FF"/>
                <w:kern w:val="0"/>
                <w:sz w:val="24"/>
                <w:highlight w:val="none"/>
                <w:lang w:val="en-US" w:eastAsia="zh-CN"/>
              </w:rPr>
              <w:t>16835.68</w:t>
            </w:r>
          </w:p>
        </w:tc>
        <w:tc>
          <w:tcPr>
            <w:tcW w:w="576"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FF"/>
                <w:kern w:val="0"/>
                <w:sz w:val="24"/>
                <w:highlight w:val="none"/>
                <w:lang w:val="en-US" w:eastAsia="zh-CN"/>
              </w:rPr>
            </w:pPr>
            <w:r>
              <w:rPr>
                <w:rFonts w:hint="eastAsia" w:ascii="Times New Roman" w:hAnsi="Times New Roman" w:eastAsia="宋体" w:cs="Times New Roman"/>
                <w:color w:val="0000FF"/>
                <w:kern w:val="0"/>
                <w:sz w:val="24"/>
                <w:highlight w:val="none"/>
                <w:lang w:val="en-US" w:eastAsia="zh-CN"/>
              </w:rPr>
              <w:t>90%</w:t>
            </w:r>
          </w:p>
        </w:tc>
      </w:tr>
    </w:tbl>
    <w:p>
      <w:pPr>
        <w:bidi w:val="0"/>
        <w:rPr>
          <w:color w:val="auto"/>
          <w:highlight w:val="none"/>
        </w:rPr>
      </w:pPr>
    </w:p>
    <w:p>
      <w:pPr>
        <w:spacing w:line="360" w:lineRule="auto"/>
        <w:ind w:firstLine="562" w:firstLineChars="200"/>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4、储气调峰量</w:t>
      </w:r>
    </w:p>
    <w:p>
      <w:pPr>
        <w:pStyle w:val="7"/>
        <w:ind w:firstLine="562"/>
        <w:rPr>
          <w:rFonts w:ascii="Times New Roman" w:hAnsi="Times New Roman"/>
          <w:b/>
          <w:color w:val="auto"/>
          <w:sz w:val="28"/>
          <w:szCs w:val="28"/>
          <w:highlight w:val="none"/>
          <w:lang w:bidi="th-TH"/>
        </w:rPr>
      </w:pPr>
      <w:r>
        <w:rPr>
          <w:rFonts w:hint="eastAsia" w:ascii="Times New Roman" w:hAnsi="Times New Roman"/>
          <w:b/>
          <w:color w:val="auto"/>
          <w:sz w:val="28"/>
          <w:szCs w:val="28"/>
          <w:highlight w:val="none"/>
          <w:lang w:bidi="th-TH"/>
        </w:rPr>
        <w:t>（1）</w:t>
      </w:r>
      <w:r>
        <w:rPr>
          <w:rFonts w:ascii="Times New Roman" w:hAnsi="Times New Roman"/>
          <w:b/>
          <w:color w:val="auto"/>
          <w:sz w:val="28"/>
          <w:szCs w:val="28"/>
          <w:highlight w:val="none"/>
          <w:lang w:bidi="th-TH"/>
        </w:rPr>
        <w:t>季节储气调峰量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b/>
          <w:color w:val="auto"/>
          <w:kern w:val="0"/>
          <w:sz w:val="24"/>
          <w:highlight w:val="none"/>
        </w:rPr>
      </w:pPr>
      <w:r>
        <w:rPr>
          <w:rFonts w:ascii="Times New Roman" w:hAnsi="Times New Roman"/>
          <w:b/>
          <w:color w:val="auto"/>
          <w:kern w:val="0"/>
          <w:sz w:val="24"/>
          <w:highlight w:val="none"/>
        </w:rPr>
        <w:t>表</w:t>
      </w:r>
      <w:r>
        <w:rPr>
          <w:rFonts w:hint="eastAsia" w:ascii="Times New Roman" w:hAnsi="Times New Roman"/>
          <w:b/>
          <w:color w:val="auto"/>
          <w:kern w:val="0"/>
          <w:sz w:val="24"/>
          <w:highlight w:val="none"/>
          <w:lang w:val="en-US" w:eastAsia="zh-CN"/>
        </w:rPr>
        <w:t>2-5</w:t>
      </w:r>
      <w:r>
        <w:rPr>
          <w:rFonts w:ascii="Times New Roman" w:hAnsi="Times New Roman"/>
          <w:b/>
          <w:color w:val="auto"/>
          <w:kern w:val="0"/>
          <w:sz w:val="24"/>
          <w:highlight w:val="none"/>
        </w:rPr>
        <w:t xml:space="preserve"> </w:t>
      </w:r>
      <w:r>
        <w:rPr>
          <w:rFonts w:hint="eastAsia" w:ascii="Times New Roman" w:hAnsi="Times New Roman"/>
          <w:b/>
          <w:color w:val="auto"/>
          <w:kern w:val="0"/>
          <w:sz w:val="24"/>
          <w:highlight w:val="none"/>
        </w:rPr>
        <w:t xml:space="preserve"> </w:t>
      </w:r>
      <w:r>
        <w:rPr>
          <w:rFonts w:ascii="Times New Roman" w:hAnsi="Times New Roman"/>
          <w:b/>
          <w:color w:val="auto"/>
          <w:kern w:val="0"/>
          <w:sz w:val="24"/>
          <w:highlight w:val="none"/>
        </w:rPr>
        <w:t>季节调峰量计算表</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508"/>
        <w:gridCol w:w="1950"/>
        <w:gridCol w:w="2061"/>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thinThickSmallGap" w:color="auto" w:sz="24" w:space="0"/>
              <w:left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1675" w:type="pct"/>
            <w:tcBorders>
              <w:top w:val="thinThickSmallGap" w:color="auto" w:sz="2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tc>
        <w:tc>
          <w:tcPr>
            <w:tcW w:w="931" w:type="pct"/>
            <w:tcBorders>
              <w:top w:val="thinThickSmallGap" w:color="auto" w:sz="2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2025年</w:t>
            </w:r>
          </w:p>
        </w:tc>
        <w:tc>
          <w:tcPr>
            <w:tcW w:w="984" w:type="pct"/>
            <w:tcBorders>
              <w:top w:val="thinThickSmallGap" w:color="auto" w:sz="24" w:space="0"/>
              <w:right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2030年</w:t>
            </w:r>
          </w:p>
        </w:tc>
        <w:tc>
          <w:tcPr>
            <w:tcW w:w="1002" w:type="pct"/>
            <w:tcBorders>
              <w:top w:val="thinThickSmallGap" w:color="auto" w:sz="24" w:space="0"/>
              <w:right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left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675" w:type="pc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年用气量（10</w:t>
            </w:r>
            <w:r>
              <w:rPr>
                <w:rFonts w:hint="default" w:ascii="Times New Roman" w:hAnsi="Times New Roman" w:eastAsia="宋体" w:cs="Times New Roman"/>
                <w:color w:val="auto"/>
                <w:sz w:val="24"/>
                <w:highlight w:val="none"/>
                <w:vertAlign w:val="superscript"/>
              </w:rPr>
              <w:t>4</w:t>
            </w:r>
            <w:r>
              <w:rPr>
                <w:rFonts w:hint="default" w:ascii="Times New Roman" w:hAnsi="Times New Roman" w:eastAsia="宋体" w:cs="Times New Roman"/>
                <w:color w:val="auto"/>
                <w:sz w:val="24"/>
                <w:highlight w:val="none"/>
              </w:rPr>
              <w:t>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/a）</w:t>
            </w:r>
          </w:p>
        </w:tc>
        <w:tc>
          <w:tcPr>
            <w:tcW w:w="931"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9274.30</w:t>
            </w:r>
          </w:p>
        </w:tc>
        <w:tc>
          <w:tcPr>
            <w:tcW w:w="984" w:type="pct"/>
            <w:tcBorders>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eastAsia="宋体" w:cs="Times New Roman"/>
                <w:i w:val="0"/>
                <w:color w:val="0000FF"/>
                <w:kern w:val="0"/>
                <w:sz w:val="24"/>
                <w:szCs w:val="24"/>
                <w:highlight w:val="none"/>
                <w:u w:val="none"/>
                <w:lang w:val="en-US" w:eastAsia="zh-CN" w:bidi="ar"/>
              </w:rPr>
              <w:t>14029.73</w:t>
            </w:r>
          </w:p>
        </w:tc>
        <w:tc>
          <w:tcPr>
            <w:tcW w:w="1002" w:type="pct"/>
            <w:tcBorders>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eastAsia="宋体" w:cs="Times New Roman"/>
                <w:i w:val="0"/>
                <w:color w:val="0000FF"/>
                <w:kern w:val="0"/>
                <w:sz w:val="24"/>
                <w:szCs w:val="24"/>
                <w:highlight w:val="none"/>
                <w:u w:val="none"/>
                <w:lang w:val="en-US" w:eastAsia="zh-CN" w:bidi="ar"/>
              </w:rPr>
              <w:t>16835.68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left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675" w:type="pc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季节储气调峰量（10</w:t>
            </w:r>
            <w:r>
              <w:rPr>
                <w:rFonts w:hint="default" w:ascii="Times New Roman" w:hAnsi="Times New Roman" w:eastAsia="宋体" w:cs="Times New Roman"/>
                <w:color w:val="auto"/>
                <w:sz w:val="24"/>
                <w:highlight w:val="none"/>
                <w:vertAlign w:val="superscript"/>
              </w:rPr>
              <w:t>4</w:t>
            </w:r>
            <w:r>
              <w:rPr>
                <w:rFonts w:hint="default" w:ascii="Times New Roman" w:hAnsi="Times New Roman" w:eastAsia="宋体" w:cs="Times New Roman"/>
                <w:color w:val="auto"/>
                <w:sz w:val="24"/>
                <w:highlight w:val="none"/>
              </w:rPr>
              <w:t>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w:t>
            </w:r>
          </w:p>
        </w:tc>
        <w:tc>
          <w:tcPr>
            <w:tcW w:w="931"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324.60</w:t>
            </w:r>
          </w:p>
        </w:tc>
        <w:tc>
          <w:tcPr>
            <w:tcW w:w="984" w:type="pct"/>
            <w:tcBorders>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eastAsia="宋体" w:cs="Times New Roman"/>
                <w:i w:val="0"/>
                <w:color w:val="0000FF"/>
                <w:kern w:val="0"/>
                <w:sz w:val="24"/>
                <w:szCs w:val="24"/>
                <w:highlight w:val="none"/>
                <w:u w:val="none"/>
                <w:lang w:val="en-US" w:eastAsia="zh-CN" w:bidi="ar"/>
              </w:rPr>
              <w:t>491.04</w:t>
            </w:r>
          </w:p>
        </w:tc>
        <w:tc>
          <w:tcPr>
            <w:tcW w:w="1002" w:type="pct"/>
            <w:tcBorders>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eastAsia="宋体" w:cs="Times New Roman"/>
                <w:i w:val="0"/>
                <w:color w:val="0000FF"/>
                <w:kern w:val="0"/>
                <w:sz w:val="24"/>
                <w:szCs w:val="24"/>
                <w:highlight w:val="none"/>
                <w:u w:val="none"/>
                <w:lang w:val="en-US" w:eastAsia="zh-CN" w:bidi="ar"/>
              </w:rPr>
              <w:t>589.25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left w:val="nil"/>
              <w:bottom w:val="thickThinSmallGap" w:color="auto" w:sz="2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675" w:type="pct"/>
            <w:tcBorders>
              <w:bottom w:val="thickThinSmallGap" w:color="auto" w:sz="2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储气系数（以年用气量为100%）</w:t>
            </w:r>
          </w:p>
        </w:tc>
        <w:tc>
          <w:tcPr>
            <w:tcW w:w="931" w:type="pct"/>
            <w:tcBorders>
              <w:bottom w:val="thickThinSmallGap" w:color="auto" w:sz="2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3.50%</w:t>
            </w:r>
          </w:p>
        </w:tc>
        <w:tc>
          <w:tcPr>
            <w:tcW w:w="984" w:type="pct"/>
            <w:tcBorders>
              <w:bottom w:val="thickThinSmallGap" w:color="auto" w:sz="2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eastAsia="宋体" w:cs="Times New Roman"/>
                <w:i w:val="0"/>
                <w:color w:val="0000FF"/>
                <w:kern w:val="0"/>
                <w:sz w:val="24"/>
                <w:szCs w:val="24"/>
                <w:highlight w:val="none"/>
                <w:u w:val="none"/>
                <w:lang w:val="en-US" w:eastAsia="zh-CN" w:bidi="ar"/>
              </w:rPr>
              <w:t>3.50%</w:t>
            </w:r>
          </w:p>
        </w:tc>
        <w:tc>
          <w:tcPr>
            <w:tcW w:w="1002" w:type="pct"/>
            <w:tcBorders>
              <w:bottom w:val="thickThinSmallGap" w:color="auto" w:sz="2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eastAsia="宋体" w:cs="Times New Roman"/>
                <w:i w:val="0"/>
                <w:color w:val="0000FF"/>
                <w:kern w:val="0"/>
                <w:sz w:val="24"/>
                <w:szCs w:val="24"/>
                <w:highlight w:val="none"/>
                <w:u w:val="none"/>
                <w:lang w:val="en-US" w:eastAsia="zh-CN" w:bidi="ar"/>
              </w:rPr>
              <w:t>3.50%</w:t>
            </w:r>
          </w:p>
        </w:tc>
      </w:tr>
    </w:tbl>
    <w:p>
      <w:pPr>
        <w:bidi w:val="0"/>
        <w:rPr>
          <w:color w:val="auto"/>
          <w:highlight w:val="none"/>
        </w:rPr>
      </w:pPr>
    </w:p>
    <w:p>
      <w:pPr>
        <w:pStyle w:val="7"/>
        <w:ind w:firstLine="562"/>
        <w:rPr>
          <w:rFonts w:ascii="Times New Roman" w:hAnsi="Times New Roman"/>
          <w:b/>
          <w:color w:val="auto"/>
          <w:sz w:val="28"/>
          <w:szCs w:val="28"/>
          <w:highlight w:val="none"/>
          <w:lang w:bidi="th-TH"/>
        </w:rPr>
      </w:pPr>
      <w:r>
        <w:rPr>
          <w:rFonts w:hint="eastAsia" w:ascii="Times New Roman" w:hAnsi="Times New Roman"/>
          <w:b/>
          <w:color w:val="auto"/>
          <w:sz w:val="28"/>
          <w:szCs w:val="28"/>
          <w:highlight w:val="none"/>
          <w:lang w:bidi="th-TH"/>
        </w:rPr>
        <w:t>（2）</w:t>
      </w:r>
      <w:r>
        <w:rPr>
          <w:rFonts w:ascii="Times New Roman" w:hAnsi="Times New Roman"/>
          <w:b/>
          <w:color w:val="auto"/>
          <w:sz w:val="28"/>
          <w:szCs w:val="28"/>
          <w:highlight w:val="none"/>
          <w:lang w:bidi="th-TH"/>
        </w:rPr>
        <w:t>日储气调峰量</w:t>
      </w:r>
    </w:p>
    <w:p>
      <w:pPr>
        <w:spacing w:line="360" w:lineRule="auto"/>
        <w:jc w:val="center"/>
        <w:rPr>
          <w:rFonts w:ascii="Times New Roman" w:hAnsi="Times New Roman"/>
          <w:b/>
          <w:color w:val="auto"/>
          <w:kern w:val="0"/>
          <w:sz w:val="24"/>
          <w:highlight w:val="none"/>
        </w:rPr>
      </w:pPr>
      <w:r>
        <w:rPr>
          <w:rFonts w:ascii="Times New Roman" w:hAnsi="Times New Roman"/>
          <w:b/>
          <w:color w:val="auto"/>
          <w:kern w:val="0"/>
          <w:sz w:val="24"/>
          <w:highlight w:val="none"/>
        </w:rPr>
        <w:t>表</w:t>
      </w:r>
      <w:r>
        <w:rPr>
          <w:rFonts w:hint="eastAsia" w:ascii="Times New Roman" w:hAnsi="Times New Roman"/>
          <w:b/>
          <w:color w:val="auto"/>
          <w:kern w:val="0"/>
          <w:sz w:val="24"/>
          <w:highlight w:val="none"/>
          <w:lang w:val="en-US" w:eastAsia="zh-CN"/>
        </w:rPr>
        <w:t>2-6</w:t>
      </w:r>
      <w:r>
        <w:rPr>
          <w:rFonts w:ascii="Times New Roman" w:hAnsi="Times New Roman"/>
          <w:b/>
          <w:color w:val="auto"/>
          <w:kern w:val="0"/>
          <w:sz w:val="24"/>
          <w:highlight w:val="none"/>
        </w:rPr>
        <w:t xml:space="preserve">  日调峰量计算表</w:t>
      </w:r>
    </w:p>
    <w:tbl>
      <w:tblPr>
        <w:tblStyle w:val="29"/>
        <w:tblW w:w="4998" w:type="pct"/>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3750"/>
        <w:gridCol w:w="2008"/>
        <w:gridCol w:w="1759"/>
        <w:gridCol w:w="1759"/>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8"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1791"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tc>
        <w:tc>
          <w:tcPr>
            <w:tcW w:w="95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2025年</w:t>
            </w:r>
          </w:p>
        </w:tc>
        <w:tc>
          <w:tcPr>
            <w:tcW w:w="840"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2030年</w:t>
            </w:r>
          </w:p>
        </w:tc>
        <w:tc>
          <w:tcPr>
            <w:tcW w:w="840"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2035年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8"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791"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日储气调峰量（10</w:t>
            </w:r>
            <w:r>
              <w:rPr>
                <w:rFonts w:hint="default" w:ascii="Times New Roman" w:hAnsi="Times New Roman" w:eastAsia="宋体" w:cs="Times New Roman"/>
                <w:color w:val="auto"/>
                <w:sz w:val="24"/>
                <w:highlight w:val="none"/>
                <w:vertAlign w:val="superscript"/>
              </w:rPr>
              <w:t>4</w:t>
            </w:r>
            <w:r>
              <w:rPr>
                <w:rFonts w:hint="default" w:ascii="Times New Roman" w:hAnsi="Times New Roman" w:eastAsia="宋体" w:cs="Times New Roman"/>
                <w:color w:val="auto"/>
                <w:sz w:val="24"/>
                <w:highlight w:val="none"/>
              </w:rPr>
              <w:t>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/a）</w:t>
            </w:r>
          </w:p>
        </w:tc>
        <w:tc>
          <w:tcPr>
            <w:tcW w:w="2008"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26.45</w:t>
            </w:r>
          </w:p>
        </w:tc>
        <w:tc>
          <w:tcPr>
            <w:tcW w:w="1759"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40.01</w:t>
            </w:r>
          </w:p>
        </w:tc>
        <w:tc>
          <w:tcPr>
            <w:tcW w:w="1759"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48.02</w:t>
            </w:r>
          </w:p>
        </w:tc>
      </w:tr>
    </w:tbl>
    <w:p>
      <w:pPr>
        <w:bidi w:val="0"/>
        <w:rPr>
          <w:color w:val="auto"/>
          <w:highlight w:val="none"/>
        </w:rPr>
      </w:pPr>
    </w:p>
    <w:p>
      <w:pPr>
        <w:pStyle w:val="7"/>
        <w:ind w:firstLine="562"/>
        <w:rPr>
          <w:rFonts w:ascii="Times New Roman" w:hAnsi="Times New Roman"/>
          <w:b/>
          <w:color w:val="auto"/>
          <w:kern w:val="0"/>
          <w:szCs w:val="24"/>
          <w:highlight w:val="none"/>
        </w:rPr>
      </w:pPr>
      <w:r>
        <w:rPr>
          <w:rFonts w:hint="eastAsia" w:ascii="Times New Roman" w:hAnsi="Times New Roman"/>
          <w:b/>
          <w:color w:val="auto"/>
          <w:sz w:val="28"/>
          <w:szCs w:val="28"/>
          <w:highlight w:val="none"/>
          <w:lang w:bidi="th-TH"/>
        </w:rPr>
        <w:t>（3）</w:t>
      </w:r>
      <w:r>
        <w:rPr>
          <w:rFonts w:ascii="Times New Roman" w:hAnsi="Times New Roman"/>
          <w:b/>
          <w:color w:val="auto"/>
          <w:sz w:val="28"/>
          <w:szCs w:val="28"/>
          <w:highlight w:val="none"/>
          <w:lang w:bidi="th-TH"/>
        </w:rPr>
        <w:t>小时储气调峰量</w:t>
      </w:r>
    </w:p>
    <w:p>
      <w:pPr>
        <w:spacing w:line="360" w:lineRule="auto"/>
        <w:jc w:val="center"/>
        <w:rPr>
          <w:rFonts w:ascii="Times New Roman" w:hAnsi="Times New Roman"/>
          <w:b/>
          <w:color w:val="auto"/>
          <w:kern w:val="0"/>
          <w:sz w:val="24"/>
          <w:highlight w:val="none"/>
        </w:rPr>
      </w:pPr>
      <w:r>
        <w:rPr>
          <w:rFonts w:ascii="Times New Roman" w:hAnsi="Times New Roman"/>
          <w:b/>
          <w:color w:val="auto"/>
          <w:kern w:val="0"/>
          <w:sz w:val="24"/>
          <w:highlight w:val="none"/>
        </w:rPr>
        <w:t>表</w:t>
      </w:r>
      <w:r>
        <w:rPr>
          <w:rFonts w:hint="eastAsia" w:ascii="Times New Roman" w:hAnsi="Times New Roman"/>
          <w:b/>
          <w:color w:val="auto"/>
          <w:kern w:val="0"/>
          <w:sz w:val="24"/>
          <w:highlight w:val="none"/>
          <w:lang w:val="en-US" w:eastAsia="zh-CN"/>
        </w:rPr>
        <w:t>2-7</w:t>
      </w:r>
      <w:r>
        <w:rPr>
          <w:rFonts w:ascii="Times New Roman" w:hAnsi="Times New Roman"/>
          <w:b/>
          <w:color w:val="auto"/>
          <w:kern w:val="0"/>
          <w:sz w:val="24"/>
          <w:highlight w:val="none"/>
        </w:rPr>
        <w:t xml:space="preserve">  小时调峰量计算表</w:t>
      </w:r>
    </w:p>
    <w:tbl>
      <w:tblPr>
        <w:tblStyle w:val="29"/>
        <w:tblW w:w="4998" w:type="pct"/>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4005"/>
        <w:gridCol w:w="1987"/>
        <w:gridCol w:w="1763"/>
        <w:gridCol w:w="1750"/>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1913"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tc>
        <w:tc>
          <w:tcPr>
            <w:tcW w:w="94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2025年</w:t>
            </w:r>
          </w:p>
        </w:tc>
        <w:tc>
          <w:tcPr>
            <w:tcW w:w="84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2030年</w:t>
            </w:r>
          </w:p>
        </w:tc>
        <w:tc>
          <w:tcPr>
            <w:tcW w:w="836"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2035年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913"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计算月最大日用气量（10</w:t>
            </w:r>
            <w:r>
              <w:rPr>
                <w:rFonts w:hint="default" w:ascii="Times New Roman" w:hAnsi="Times New Roman" w:eastAsia="宋体" w:cs="Times New Roman"/>
                <w:color w:val="auto"/>
                <w:sz w:val="24"/>
                <w:highlight w:val="none"/>
                <w:vertAlign w:val="superscript"/>
              </w:rPr>
              <w:t>4</w:t>
            </w:r>
            <w:r>
              <w:rPr>
                <w:rFonts w:hint="default" w:ascii="Times New Roman" w:hAnsi="Times New Roman" w:eastAsia="宋体" w:cs="Times New Roman"/>
                <w:color w:val="auto"/>
                <w:sz w:val="24"/>
                <w:highlight w:val="none"/>
              </w:rPr>
              <w:t>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/a）</w:t>
            </w:r>
          </w:p>
        </w:tc>
        <w:tc>
          <w:tcPr>
            <w:tcW w:w="94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34.01</w:t>
            </w:r>
          </w:p>
        </w:tc>
        <w:tc>
          <w:tcPr>
            <w:tcW w:w="84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51.44</w:t>
            </w:r>
          </w:p>
        </w:tc>
        <w:tc>
          <w:tcPr>
            <w:tcW w:w="836"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61.73</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913"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小时储气调峰量（10</w:t>
            </w:r>
            <w:r>
              <w:rPr>
                <w:rFonts w:hint="default" w:ascii="Times New Roman" w:hAnsi="Times New Roman" w:eastAsia="宋体" w:cs="Times New Roman"/>
                <w:color w:val="auto"/>
                <w:sz w:val="24"/>
                <w:highlight w:val="none"/>
                <w:vertAlign w:val="superscript"/>
              </w:rPr>
              <w:t>4</w:t>
            </w:r>
            <w:r>
              <w:rPr>
                <w:rFonts w:hint="default" w:ascii="Times New Roman" w:hAnsi="Times New Roman" w:eastAsia="宋体" w:cs="Times New Roman"/>
                <w:color w:val="auto"/>
                <w:sz w:val="24"/>
                <w:highlight w:val="none"/>
              </w:rPr>
              <w:t>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w:t>
            </w:r>
          </w:p>
        </w:tc>
        <w:tc>
          <w:tcPr>
            <w:tcW w:w="94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3.83</w:t>
            </w:r>
          </w:p>
        </w:tc>
        <w:tc>
          <w:tcPr>
            <w:tcW w:w="84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5.80</w:t>
            </w:r>
          </w:p>
        </w:tc>
        <w:tc>
          <w:tcPr>
            <w:tcW w:w="836"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6.95</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913"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储气系数（以日用气量为100%）</w:t>
            </w:r>
          </w:p>
        </w:tc>
        <w:tc>
          <w:tcPr>
            <w:tcW w:w="94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11.27%</w:t>
            </w:r>
          </w:p>
        </w:tc>
        <w:tc>
          <w:tcPr>
            <w:tcW w:w="84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11.27%</w:t>
            </w:r>
          </w:p>
        </w:tc>
        <w:tc>
          <w:tcPr>
            <w:tcW w:w="836"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11.27%</w:t>
            </w:r>
          </w:p>
        </w:tc>
      </w:tr>
    </w:tbl>
    <w:p>
      <w:pPr>
        <w:spacing w:line="360" w:lineRule="auto"/>
        <w:rPr>
          <w:rFonts w:hint="eastAsia" w:ascii="Times New Roman" w:hAnsi="Times New Roman" w:eastAsia="宋体" w:cs="Times New Roman"/>
          <w:color w:val="auto"/>
          <w:sz w:val="28"/>
          <w:highlight w:val="none"/>
        </w:rPr>
      </w:pPr>
    </w:p>
    <w:p>
      <w:pPr>
        <w:pStyle w:val="2"/>
        <w:bidi w:val="0"/>
        <w:rPr>
          <w:color w:val="auto"/>
          <w:highlight w:val="none"/>
        </w:rPr>
      </w:pPr>
      <w:bookmarkStart w:id="36" w:name="_Toc10007"/>
      <w:r>
        <w:rPr>
          <w:rFonts w:hint="eastAsia"/>
          <w:color w:val="auto"/>
          <w:highlight w:val="none"/>
        </w:rPr>
        <w:t>第</w:t>
      </w:r>
      <w:r>
        <w:rPr>
          <w:rFonts w:hint="eastAsia"/>
          <w:color w:val="auto"/>
          <w:highlight w:val="none"/>
          <w:lang w:val="en-US" w:eastAsia="zh-CN"/>
        </w:rPr>
        <w:t>三</w:t>
      </w:r>
      <w:r>
        <w:rPr>
          <w:rFonts w:hint="eastAsia"/>
          <w:color w:val="auto"/>
          <w:highlight w:val="none"/>
        </w:rPr>
        <w:t xml:space="preserve">章 </w:t>
      </w:r>
      <w:r>
        <w:rPr>
          <w:color w:val="auto"/>
          <w:highlight w:val="none"/>
        </w:rPr>
        <w:t xml:space="preserve"> </w:t>
      </w:r>
      <w:r>
        <w:rPr>
          <w:rFonts w:hint="eastAsia"/>
          <w:color w:val="auto"/>
          <w:highlight w:val="none"/>
        </w:rPr>
        <w:t>气源规划</w:t>
      </w:r>
      <w:bookmarkEnd w:id="36"/>
    </w:p>
    <w:p>
      <w:pPr>
        <w:pStyle w:val="3"/>
        <w:spacing w:line="240" w:lineRule="auto"/>
        <w:rPr>
          <w:rFonts w:ascii="Times New Roman" w:hAnsi="Times New Roman"/>
          <w:color w:val="auto"/>
          <w:highlight w:val="none"/>
        </w:rPr>
      </w:pPr>
      <w:bookmarkStart w:id="37" w:name="_Toc59549665"/>
      <w:bookmarkStart w:id="38" w:name="_Toc29118"/>
      <w:bookmarkStart w:id="39" w:name="_Toc4863"/>
      <w:r>
        <w:rPr>
          <w:rFonts w:ascii="Times New Roman" w:hAnsi="Times New Roman"/>
          <w:color w:val="auto"/>
          <w:highlight w:val="none"/>
        </w:rPr>
        <w:t>第</w:t>
      </w:r>
      <w:r>
        <w:rPr>
          <w:rFonts w:hint="eastAsia" w:ascii="Times New Roman" w:hAnsi="Times New Roman"/>
          <w:color w:val="auto"/>
          <w:highlight w:val="none"/>
          <w:lang w:val="en-US" w:eastAsia="zh-CN"/>
        </w:rPr>
        <w:t>十</w:t>
      </w:r>
      <w:r>
        <w:rPr>
          <w:rFonts w:ascii="Times New Roman" w:hAnsi="Times New Roman"/>
          <w:color w:val="auto"/>
          <w:highlight w:val="none"/>
        </w:rPr>
        <w:t>条：可供气源来源</w:t>
      </w:r>
      <w:bookmarkEnd w:id="37"/>
      <w:bookmarkEnd w:id="38"/>
      <w:bookmarkEnd w:id="39"/>
    </w:p>
    <w:p>
      <w:pPr>
        <w:spacing w:line="360" w:lineRule="auto"/>
        <w:ind w:firstLine="562" w:firstLineChars="200"/>
        <w:rPr>
          <w:rFonts w:ascii="Times New Roman" w:hAnsi="Times New Roman" w:cs="Times New Roman"/>
          <w:b/>
          <w:bCs/>
          <w:color w:val="0000FF"/>
          <w:sz w:val="28"/>
          <w:szCs w:val="28"/>
          <w:highlight w:val="none"/>
        </w:rPr>
      </w:pPr>
      <w:r>
        <w:rPr>
          <w:rFonts w:ascii="Times New Roman" w:hAnsi="Times New Roman" w:cs="Times New Roman"/>
          <w:b/>
          <w:bCs/>
          <w:color w:val="0000FF"/>
          <w:sz w:val="28"/>
          <w:szCs w:val="28"/>
          <w:highlight w:val="none"/>
        </w:rPr>
        <w:t>1</w:t>
      </w:r>
      <w:r>
        <w:rPr>
          <w:rFonts w:hint="eastAsia" w:ascii="Times New Roman" w:hAnsi="Times New Roman" w:cs="宋体"/>
          <w:b/>
          <w:bCs/>
          <w:color w:val="0000FF"/>
          <w:sz w:val="28"/>
          <w:szCs w:val="28"/>
          <w:highlight w:val="none"/>
        </w:rPr>
        <w:t>、</w:t>
      </w:r>
      <w:r>
        <w:rPr>
          <w:rFonts w:hint="eastAsia" w:ascii="Times New Roman" w:hAnsi="Times New Roman" w:eastAsia="宋体" w:cs="Times New Roman"/>
          <w:b/>
          <w:bCs/>
          <w:color w:val="0000FF"/>
          <w:sz w:val="28"/>
          <w:highlight w:val="none"/>
        </w:rPr>
        <w:t>“秦</w:t>
      </w:r>
      <w:r>
        <w:rPr>
          <w:rFonts w:hint="eastAsia" w:ascii="Times New Roman" w:hAnsi="Times New Roman" w:eastAsia="宋体" w:cs="Times New Roman"/>
          <w:b/>
          <w:bCs/>
          <w:color w:val="0000FF"/>
          <w:sz w:val="28"/>
          <w:highlight w:val="none"/>
          <w:lang w:val="en-US" w:eastAsia="zh-CN"/>
        </w:rPr>
        <w:t>-</w:t>
      </w:r>
      <w:r>
        <w:rPr>
          <w:rFonts w:hint="eastAsia" w:ascii="Times New Roman" w:hAnsi="Times New Roman" w:eastAsia="宋体" w:cs="Times New Roman"/>
          <w:b/>
          <w:bCs/>
          <w:color w:val="0000FF"/>
          <w:sz w:val="28"/>
          <w:highlight w:val="none"/>
        </w:rPr>
        <w:t>沈”线管道天然气</w:t>
      </w:r>
    </w:p>
    <w:p>
      <w:pPr>
        <w:spacing w:line="360" w:lineRule="auto"/>
        <w:ind w:firstLine="560" w:firstLineChars="200"/>
        <w:rPr>
          <w:rFonts w:ascii="Times New Roman" w:hAnsi="Times New Roman" w:cs="Times New Roman"/>
          <w:color w:val="0000FF"/>
          <w:sz w:val="28"/>
          <w:szCs w:val="28"/>
          <w:highlight w:val="none"/>
        </w:rPr>
      </w:pPr>
      <w:r>
        <w:rPr>
          <w:rFonts w:hint="eastAsia" w:ascii="Times New Roman" w:hAnsi="Times New Roman" w:cs="宋体"/>
          <w:color w:val="0000FF"/>
          <w:sz w:val="28"/>
          <w:szCs w:val="28"/>
          <w:highlight w:val="none"/>
        </w:rPr>
        <w:t>（</w:t>
      </w:r>
      <w:r>
        <w:rPr>
          <w:rFonts w:ascii="Times New Roman" w:hAnsi="Times New Roman" w:cs="Times New Roman"/>
          <w:color w:val="0000FF"/>
          <w:sz w:val="28"/>
          <w:szCs w:val="28"/>
          <w:highlight w:val="none"/>
        </w:rPr>
        <w:t>1</w:t>
      </w:r>
      <w:r>
        <w:rPr>
          <w:rFonts w:hint="eastAsia" w:ascii="Times New Roman" w:hAnsi="Times New Roman" w:cs="宋体"/>
          <w:color w:val="0000FF"/>
          <w:sz w:val="28"/>
          <w:szCs w:val="28"/>
          <w:highlight w:val="none"/>
        </w:rPr>
        <w:t>）气源概况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FF"/>
          <w:sz w:val="28"/>
          <w:szCs w:val="28"/>
          <w:highlight w:val="none"/>
        </w:rPr>
      </w:pPr>
      <w:r>
        <w:rPr>
          <w:rFonts w:hint="eastAsia" w:ascii="Times New Roman" w:hAnsi="Times New Roman" w:eastAsia="宋体" w:cs="Times New Roman"/>
          <w:color w:val="0000FF"/>
          <w:sz w:val="28"/>
          <w:szCs w:val="28"/>
          <w:highlight w:val="none"/>
        </w:rPr>
        <w:t>秦皇岛—沈阳管道天然气是目前我国东北地区口径最大、压力最高、距离最长的管道天然气，已于2011年6月底全线建成投产，与大连――沈阳管道天然气共同</w:t>
      </w:r>
      <w:r>
        <w:rPr>
          <w:rFonts w:hint="default" w:ascii="Times New Roman" w:hAnsi="Times New Roman" w:eastAsia="宋体" w:cs="Times New Roman"/>
          <w:color w:val="0000FF"/>
          <w:sz w:val="28"/>
          <w:szCs w:val="28"/>
          <w:highlight w:val="none"/>
        </w:rPr>
        <w:t>构筑起辽宁省天然气主干管网。</w:t>
      </w:r>
    </w:p>
    <w:p>
      <w:pPr>
        <w:spacing w:line="360" w:lineRule="auto"/>
        <w:ind w:firstLine="560" w:firstLineChars="200"/>
        <w:rPr>
          <w:rFonts w:hint="default" w:ascii="Times New Roman" w:hAnsi="Times New Roman" w:eastAsia="宋体" w:cs="Times New Roman"/>
          <w:color w:val="0000FF"/>
          <w:sz w:val="28"/>
          <w:szCs w:val="28"/>
          <w:highlight w:val="none"/>
        </w:rPr>
      </w:pPr>
      <w:r>
        <w:rPr>
          <w:rFonts w:hint="default" w:ascii="Times New Roman" w:hAnsi="Times New Roman" w:eastAsia="宋体" w:cs="Times New Roman"/>
          <w:color w:val="0000FF"/>
          <w:sz w:val="28"/>
          <w:szCs w:val="28"/>
          <w:highlight w:val="none"/>
        </w:rPr>
        <w:t>秦沈线干线起自秦皇岛分输站，向北经过</w:t>
      </w:r>
      <w:r>
        <w:rPr>
          <w:rFonts w:hint="eastAsia" w:ascii="Times New Roman" w:hAnsi="Times New Roman" w:eastAsia="宋体" w:cs="Times New Roman"/>
          <w:color w:val="0000FF"/>
          <w:sz w:val="28"/>
          <w:szCs w:val="28"/>
          <w:highlight w:val="none"/>
          <w:lang w:eastAsia="zh-CN"/>
        </w:rPr>
        <w:t>抚宁区</w:t>
      </w:r>
      <w:r>
        <w:rPr>
          <w:rFonts w:hint="default" w:ascii="Times New Roman" w:hAnsi="Times New Roman" w:eastAsia="宋体" w:cs="Times New Roman"/>
          <w:color w:val="0000FF"/>
          <w:sz w:val="28"/>
          <w:szCs w:val="28"/>
          <w:highlight w:val="none"/>
        </w:rPr>
        <w:t>、秦皇岛海港区、山海关区、葫芦岛市的绥中县、兴城市、连山区、盘锦市的开发区、凌海市、北镇市、黑山县、鞍山市的台安县、沈阳市的</w:t>
      </w:r>
      <w:r>
        <w:rPr>
          <w:rFonts w:hint="eastAsia" w:ascii="Times New Roman" w:hAnsi="Times New Roman" w:eastAsia="宋体" w:cs="Times New Roman"/>
          <w:color w:val="0000FF"/>
          <w:sz w:val="28"/>
          <w:szCs w:val="28"/>
          <w:highlight w:val="none"/>
          <w:lang w:eastAsia="zh-CN"/>
        </w:rPr>
        <w:t>辽中区</w:t>
      </w:r>
      <w:r>
        <w:rPr>
          <w:rFonts w:hint="default" w:ascii="Times New Roman" w:hAnsi="Times New Roman" w:eastAsia="宋体" w:cs="Times New Roman"/>
          <w:color w:val="0000FF"/>
          <w:sz w:val="28"/>
          <w:szCs w:val="28"/>
          <w:highlight w:val="none"/>
        </w:rPr>
        <w:t>、新民市，到达沈阳分输站。沿线设置了秦皇岛分输站、葫芦岛分输站、盘锦分输站、盘锦分输站和沈阳分输站。线路全长425km，管径D1016mm，设计压力10MPa，管道材质为L485，设计年输量90×10</w:t>
      </w:r>
      <w:r>
        <w:rPr>
          <w:rFonts w:hint="default" w:ascii="Times New Roman" w:hAnsi="Times New Roman" w:eastAsia="宋体" w:cs="Times New Roman"/>
          <w:color w:val="0000FF"/>
          <w:sz w:val="28"/>
          <w:szCs w:val="28"/>
          <w:highlight w:val="none"/>
          <w:vertAlign w:val="superscript"/>
        </w:rPr>
        <w:t>8</w:t>
      </w:r>
      <w:r>
        <w:rPr>
          <w:rFonts w:hint="default" w:ascii="Times New Roman" w:hAnsi="Times New Roman" w:eastAsia="宋体" w:cs="Times New Roman"/>
          <w:color w:val="0000FF"/>
          <w:sz w:val="28"/>
          <w:szCs w:val="28"/>
          <w:highlight w:val="none"/>
        </w:rPr>
        <w:t>m</w:t>
      </w:r>
      <w:r>
        <w:rPr>
          <w:rFonts w:hint="default" w:ascii="Times New Roman" w:hAnsi="Times New Roman" w:eastAsia="宋体" w:cs="Times New Roman"/>
          <w:color w:val="0000FF"/>
          <w:sz w:val="28"/>
          <w:szCs w:val="28"/>
          <w:highlight w:val="none"/>
          <w:vertAlign w:val="superscript"/>
        </w:rPr>
        <w:t>3</w:t>
      </w:r>
      <w:r>
        <w:rPr>
          <w:rFonts w:hint="default" w:ascii="Times New Roman" w:hAnsi="Times New Roman" w:eastAsia="宋体" w:cs="Times New Roman"/>
          <w:color w:val="0000FF"/>
          <w:sz w:val="28"/>
          <w:szCs w:val="28"/>
          <w:highlight w:val="none"/>
        </w:rPr>
        <w:t>/a。沿途穿越大中型河流10次，穿越高速公路及一、二级公路24 次，铁路穿越9次，穿越长城1次。</w:t>
      </w:r>
    </w:p>
    <w:p>
      <w:pPr>
        <w:spacing w:line="360" w:lineRule="auto"/>
        <w:ind w:firstLine="560" w:firstLineChars="200"/>
        <w:rPr>
          <w:rFonts w:hint="default" w:ascii="Times New Roman" w:hAnsi="Times New Roman" w:eastAsia="宋体" w:cs="Times New Roman"/>
          <w:color w:val="0000FF"/>
          <w:sz w:val="28"/>
          <w:szCs w:val="28"/>
          <w:highlight w:val="none"/>
        </w:rPr>
      </w:pPr>
      <w:r>
        <w:rPr>
          <w:rFonts w:hint="default" w:ascii="Times New Roman" w:hAnsi="Times New Roman" w:eastAsia="宋体" w:cs="Times New Roman"/>
          <w:color w:val="0000FF"/>
          <w:sz w:val="28"/>
          <w:szCs w:val="28"/>
          <w:highlight w:val="none"/>
        </w:rPr>
        <w:t>（2）气源参数</w:t>
      </w:r>
    </w:p>
    <w:p>
      <w:pPr>
        <w:spacing w:line="360" w:lineRule="auto"/>
        <w:ind w:firstLine="560" w:firstLineChars="200"/>
        <w:rPr>
          <w:rFonts w:hint="default" w:ascii="Times New Roman" w:hAnsi="Times New Roman" w:eastAsia="宋体" w:cs="Times New Roman"/>
          <w:color w:val="0000FF"/>
          <w:sz w:val="28"/>
          <w:szCs w:val="28"/>
          <w:highlight w:val="none"/>
        </w:rPr>
      </w:pPr>
      <w:r>
        <w:rPr>
          <w:rFonts w:hint="eastAsia" w:ascii="宋体" w:hAnsi="宋体" w:eastAsia="宋体" w:cs="宋体"/>
          <w:color w:val="0000FF"/>
          <w:sz w:val="28"/>
          <w:szCs w:val="28"/>
          <w:highlight w:val="none"/>
        </w:rPr>
        <w:t>“秦</w:t>
      </w:r>
      <w:r>
        <w:rPr>
          <w:rFonts w:hint="eastAsia" w:ascii="宋体" w:hAnsi="宋体" w:eastAsia="宋体" w:cs="宋体"/>
          <w:color w:val="0000FF"/>
          <w:sz w:val="28"/>
          <w:szCs w:val="28"/>
          <w:highlight w:val="none"/>
          <w:lang w:val="en-US" w:eastAsia="zh-CN"/>
        </w:rPr>
        <w:t>-</w:t>
      </w:r>
      <w:r>
        <w:rPr>
          <w:rFonts w:hint="eastAsia" w:ascii="宋体" w:hAnsi="宋体" w:eastAsia="宋体" w:cs="宋体"/>
          <w:color w:val="0000FF"/>
          <w:sz w:val="28"/>
          <w:szCs w:val="28"/>
          <w:highlight w:val="none"/>
        </w:rPr>
        <w:t>沈”</w:t>
      </w:r>
      <w:r>
        <w:rPr>
          <w:rFonts w:hint="default" w:ascii="Times New Roman" w:hAnsi="Times New Roman" w:eastAsia="宋体" w:cs="Times New Roman"/>
          <w:color w:val="0000FF"/>
          <w:sz w:val="28"/>
          <w:szCs w:val="28"/>
          <w:highlight w:val="none"/>
        </w:rPr>
        <w:t>线气源参数见表</w:t>
      </w:r>
      <w:r>
        <w:rPr>
          <w:rFonts w:hint="eastAsia" w:ascii="Times New Roman" w:hAnsi="Times New Roman" w:cs="Times New Roman"/>
          <w:color w:val="0000FF"/>
          <w:sz w:val="28"/>
          <w:szCs w:val="28"/>
          <w:highlight w:val="none"/>
          <w:lang w:val="en-US" w:eastAsia="zh-CN"/>
        </w:rPr>
        <w:t>3-1</w:t>
      </w:r>
      <w:r>
        <w:rPr>
          <w:rFonts w:hint="default" w:ascii="Times New Roman" w:hAnsi="Times New Roman" w:eastAsia="宋体" w:cs="Times New Roman"/>
          <w:color w:val="0000FF"/>
          <w:sz w:val="28"/>
          <w:szCs w:val="28"/>
          <w:highlight w:val="none"/>
        </w:rPr>
        <w:t>。</w:t>
      </w:r>
    </w:p>
    <w:p>
      <w:pPr>
        <w:spacing w:line="360" w:lineRule="auto"/>
        <w:jc w:val="center"/>
        <w:rPr>
          <w:rFonts w:hint="default" w:ascii="Times New Roman" w:hAnsi="Times New Roman" w:eastAsia="宋体" w:cs="Times New Roman"/>
          <w:color w:val="0000FF"/>
          <w:sz w:val="24"/>
          <w:highlight w:val="none"/>
        </w:rPr>
      </w:pPr>
      <w:r>
        <w:rPr>
          <w:rFonts w:hint="default" w:ascii="Times New Roman" w:hAnsi="Times New Roman" w:eastAsia="宋体" w:cs="Times New Roman"/>
          <w:color w:val="0000FF"/>
          <w:sz w:val="24"/>
          <w:highlight w:val="none"/>
        </w:rPr>
        <w:t>表</w:t>
      </w:r>
      <w:r>
        <w:rPr>
          <w:rFonts w:hint="eastAsia" w:ascii="Times New Roman" w:hAnsi="Times New Roman" w:cs="Times New Roman"/>
          <w:color w:val="0000FF"/>
          <w:sz w:val="24"/>
          <w:szCs w:val="24"/>
          <w:highlight w:val="none"/>
          <w:lang w:val="en-US" w:eastAsia="zh-CN"/>
        </w:rPr>
        <w:t>3-1</w:t>
      </w:r>
      <w:r>
        <w:rPr>
          <w:rFonts w:hint="default" w:ascii="Times New Roman" w:hAnsi="Times New Roman" w:eastAsia="宋体" w:cs="Times New Roman"/>
          <w:color w:val="0000FF"/>
          <w:sz w:val="24"/>
          <w:highlight w:val="none"/>
        </w:rPr>
        <w:t xml:space="preserve">  秦</w:t>
      </w:r>
      <w:r>
        <w:rPr>
          <w:rFonts w:hint="eastAsia" w:ascii="Times New Roman" w:hAnsi="Times New Roman" w:eastAsia="宋体" w:cs="Times New Roman"/>
          <w:color w:val="0000FF"/>
          <w:sz w:val="24"/>
          <w:highlight w:val="none"/>
          <w:lang w:val="en-US" w:eastAsia="zh-CN"/>
        </w:rPr>
        <w:t>-</w:t>
      </w:r>
      <w:r>
        <w:rPr>
          <w:rFonts w:hint="default" w:ascii="Times New Roman" w:hAnsi="Times New Roman" w:eastAsia="宋体" w:cs="Times New Roman"/>
          <w:color w:val="0000FF"/>
          <w:sz w:val="24"/>
          <w:highlight w:val="none"/>
        </w:rPr>
        <w:t>沈线管道天然气气源组分</w:t>
      </w:r>
    </w:p>
    <w:tbl>
      <w:tblPr>
        <w:tblStyle w:val="29"/>
        <w:tblW w:w="10050"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4"/>
        <w:gridCol w:w="816"/>
        <w:gridCol w:w="769"/>
        <w:gridCol w:w="770"/>
        <w:gridCol w:w="770"/>
        <w:gridCol w:w="770"/>
        <w:gridCol w:w="770"/>
        <w:gridCol w:w="770"/>
        <w:gridCol w:w="770"/>
        <w:gridCol w:w="770"/>
        <w:gridCol w:w="770"/>
        <w:gridCol w:w="770"/>
        <w:gridCol w:w="771"/>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组分</w:t>
            </w:r>
          </w:p>
        </w:tc>
        <w:tc>
          <w:tcPr>
            <w:tcW w:w="816"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C</w:t>
            </w:r>
            <w:r>
              <w:rPr>
                <w:rFonts w:hint="default" w:ascii="Times New Roman" w:hAnsi="Times New Roman" w:cs="Times New Roman"/>
                <w:color w:val="0000FF"/>
                <w:szCs w:val="24"/>
                <w:highlight w:val="none"/>
                <w:vertAlign w:val="subscript"/>
              </w:rPr>
              <w:t>1</w:t>
            </w:r>
          </w:p>
        </w:tc>
        <w:tc>
          <w:tcPr>
            <w:tcW w:w="769"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C</w:t>
            </w:r>
            <w:r>
              <w:rPr>
                <w:rFonts w:hint="default" w:ascii="Times New Roman" w:hAnsi="Times New Roman" w:cs="Times New Roman"/>
                <w:color w:val="0000FF"/>
                <w:szCs w:val="24"/>
                <w:highlight w:val="none"/>
                <w:vertAlign w:val="subscript"/>
              </w:rPr>
              <w:t>2</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C</w:t>
            </w:r>
            <w:r>
              <w:rPr>
                <w:rFonts w:hint="default" w:ascii="Times New Roman" w:hAnsi="Times New Roman" w:cs="Times New Roman"/>
                <w:color w:val="0000FF"/>
                <w:szCs w:val="24"/>
                <w:highlight w:val="none"/>
                <w:vertAlign w:val="subscript"/>
              </w:rPr>
              <w:t>3</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iC</w:t>
            </w:r>
            <w:r>
              <w:rPr>
                <w:rFonts w:hint="default" w:ascii="Times New Roman" w:hAnsi="Times New Roman" w:cs="Times New Roman"/>
                <w:color w:val="0000FF"/>
                <w:szCs w:val="24"/>
                <w:highlight w:val="none"/>
                <w:vertAlign w:val="subscript"/>
              </w:rPr>
              <w:t>4</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nC</w:t>
            </w:r>
            <w:r>
              <w:rPr>
                <w:rFonts w:hint="default" w:ascii="Times New Roman" w:hAnsi="Times New Roman" w:cs="Times New Roman"/>
                <w:color w:val="0000FF"/>
                <w:szCs w:val="24"/>
                <w:highlight w:val="none"/>
                <w:vertAlign w:val="subscript"/>
              </w:rPr>
              <w:t>4</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iC</w:t>
            </w:r>
            <w:r>
              <w:rPr>
                <w:rFonts w:hint="default" w:ascii="Times New Roman" w:hAnsi="Times New Roman" w:cs="Times New Roman"/>
                <w:color w:val="0000FF"/>
                <w:szCs w:val="24"/>
                <w:highlight w:val="none"/>
                <w:vertAlign w:val="subscript"/>
              </w:rPr>
              <w:t>5</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nC</w:t>
            </w:r>
            <w:r>
              <w:rPr>
                <w:rFonts w:hint="default" w:ascii="Times New Roman" w:hAnsi="Times New Roman" w:cs="Times New Roman"/>
                <w:color w:val="0000FF"/>
                <w:szCs w:val="24"/>
                <w:highlight w:val="none"/>
                <w:vertAlign w:val="subscript"/>
              </w:rPr>
              <w:t>5</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C</w:t>
            </w:r>
            <w:r>
              <w:rPr>
                <w:rFonts w:hint="default" w:ascii="Times New Roman" w:hAnsi="Times New Roman" w:cs="Times New Roman"/>
                <w:color w:val="0000FF"/>
                <w:szCs w:val="24"/>
                <w:highlight w:val="none"/>
                <w:vertAlign w:val="subscript"/>
              </w:rPr>
              <w:t>6</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C</w:t>
            </w:r>
            <w:r>
              <w:rPr>
                <w:rFonts w:hint="default" w:ascii="Times New Roman" w:hAnsi="Times New Roman" w:cs="Times New Roman"/>
                <w:color w:val="0000FF"/>
                <w:szCs w:val="24"/>
                <w:highlight w:val="none"/>
                <w:vertAlign w:val="subscript"/>
              </w:rPr>
              <w:t>7</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H</w:t>
            </w:r>
            <w:r>
              <w:rPr>
                <w:rFonts w:hint="default" w:ascii="Times New Roman" w:hAnsi="Times New Roman" w:cs="Times New Roman"/>
                <w:color w:val="0000FF"/>
                <w:szCs w:val="24"/>
                <w:highlight w:val="none"/>
                <w:vertAlign w:val="subscript"/>
              </w:rPr>
              <w:t>2</w:t>
            </w:r>
            <w:r>
              <w:rPr>
                <w:rFonts w:hint="default" w:ascii="Times New Roman" w:hAnsi="Times New Roman" w:cs="Times New Roman"/>
                <w:color w:val="0000FF"/>
                <w:szCs w:val="24"/>
                <w:highlight w:val="none"/>
              </w:rPr>
              <w:t>S</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CO</w:t>
            </w:r>
            <w:r>
              <w:rPr>
                <w:rFonts w:hint="default" w:ascii="Times New Roman" w:hAnsi="Times New Roman" w:cs="Times New Roman"/>
                <w:color w:val="0000FF"/>
                <w:szCs w:val="24"/>
                <w:highlight w:val="none"/>
                <w:vertAlign w:val="subscript"/>
              </w:rPr>
              <w:t>2</w:t>
            </w:r>
          </w:p>
        </w:tc>
        <w:tc>
          <w:tcPr>
            <w:tcW w:w="771"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N</w:t>
            </w:r>
            <w:r>
              <w:rPr>
                <w:rFonts w:hint="default" w:ascii="Times New Roman" w:hAnsi="Times New Roman" w:cs="Times New Roman"/>
                <w:color w:val="0000FF"/>
                <w:szCs w:val="24"/>
                <w:highlight w:val="none"/>
                <w:vertAlign w:val="subscript"/>
              </w:rPr>
              <w:t>2</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w:t>
            </w:r>
          </w:p>
        </w:tc>
        <w:tc>
          <w:tcPr>
            <w:tcW w:w="816"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95.17</w:t>
            </w:r>
          </w:p>
        </w:tc>
        <w:tc>
          <w:tcPr>
            <w:tcW w:w="769"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2.58</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0.48</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0.10</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0.11</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0.00</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0.00</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0.05</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0.03</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0.00</w:t>
            </w:r>
          </w:p>
        </w:tc>
        <w:tc>
          <w:tcPr>
            <w:tcW w:w="770"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0.47</w:t>
            </w:r>
          </w:p>
        </w:tc>
        <w:tc>
          <w:tcPr>
            <w:tcW w:w="771" w:type="dxa"/>
            <w:tcBorders>
              <w:tl2br w:val="nil"/>
              <w:tr2bl w:val="nil"/>
            </w:tcBorders>
            <w:noWrap w:val="0"/>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FF"/>
                <w:szCs w:val="24"/>
                <w:highlight w:val="none"/>
              </w:rPr>
            </w:pPr>
            <w:r>
              <w:rPr>
                <w:rFonts w:hint="default" w:ascii="Times New Roman" w:hAnsi="Times New Roman" w:cs="Times New Roman"/>
                <w:color w:val="0000FF"/>
                <w:szCs w:val="24"/>
                <w:highlight w:val="none"/>
              </w:rPr>
              <w:t>0.96</w:t>
            </w:r>
          </w:p>
        </w:tc>
      </w:tr>
    </w:tbl>
    <w:p>
      <w:pPr>
        <w:pStyle w:val="7"/>
        <w:ind w:firstLine="560"/>
        <w:jc w:val="left"/>
        <w:rPr>
          <w:rFonts w:hint="default" w:ascii="Times New Roman" w:hAnsi="Times New Roman" w:cs="Times New Roman"/>
          <w:color w:val="0000FF"/>
          <w:sz w:val="28"/>
          <w:szCs w:val="28"/>
          <w:highlight w:val="none"/>
        </w:rPr>
      </w:pPr>
      <w:r>
        <w:rPr>
          <w:rFonts w:hint="default" w:ascii="Times New Roman" w:hAnsi="Times New Roman" w:cs="Times New Roman"/>
          <w:color w:val="0000FF"/>
          <w:sz w:val="28"/>
          <w:szCs w:val="28"/>
          <w:highlight w:val="none"/>
        </w:rPr>
        <w:t>平均密度（Kg/Nm</w:t>
      </w:r>
      <w:r>
        <w:rPr>
          <w:rFonts w:hint="default" w:ascii="Times New Roman" w:hAnsi="Times New Roman" w:cs="Times New Roman"/>
          <w:color w:val="0000FF"/>
          <w:sz w:val="28"/>
          <w:szCs w:val="28"/>
          <w:highlight w:val="none"/>
          <w:vertAlign w:val="superscript"/>
        </w:rPr>
        <w:t>3</w:t>
      </w:r>
      <w:r>
        <w:rPr>
          <w:rFonts w:hint="default" w:ascii="Times New Roman" w:hAnsi="Times New Roman" w:cs="Times New Roman"/>
          <w:color w:val="0000FF"/>
          <w:sz w:val="28"/>
          <w:szCs w:val="28"/>
          <w:highlight w:val="none"/>
        </w:rPr>
        <w:t>）：0.7431</w:t>
      </w:r>
    </w:p>
    <w:p>
      <w:pPr>
        <w:pStyle w:val="7"/>
        <w:ind w:firstLine="560"/>
        <w:jc w:val="left"/>
        <w:rPr>
          <w:rFonts w:hint="default" w:ascii="Times New Roman" w:hAnsi="Times New Roman" w:cs="Times New Roman"/>
          <w:color w:val="0000FF"/>
          <w:sz w:val="28"/>
          <w:szCs w:val="28"/>
          <w:highlight w:val="none"/>
        </w:rPr>
      </w:pPr>
      <w:r>
        <w:rPr>
          <w:rFonts w:hint="default" w:ascii="Times New Roman" w:hAnsi="Times New Roman" w:cs="Times New Roman"/>
          <w:color w:val="0000FF"/>
          <w:sz w:val="28"/>
          <w:szCs w:val="28"/>
          <w:highlight w:val="none"/>
        </w:rPr>
        <w:t>相对密度：0.5819</w:t>
      </w:r>
    </w:p>
    <w:p>
      <w:pPr>
        <w:pStyle w:val="7"/>
        <w:ind w:firstLine="560"/>
        <w:jc w:val="left"/>
        <w:rPr>
          <w:rFonts w:hint="eastAsia" w:ascii="Times New Roman" w:hAnsi="Times New Roman" w:eastAsia="宋体" w:cs="Times New Roman"/>
          <w:b/>
          <w:bCs/>
          <w:color w:val="auto"/>
          <w:sz w:val="28"/>
          <w:highlight w:val="none"/>
        </w:rPr>
      </w:pPr>
      <w:r>
        <w:rPr>
          <w:rFonts w:hint="default" w:ascii="Times New Roman" w:hAnsi="Times New Roman" w:cs="Times New Roman"/>
          <w:color w:val="0000FF"/>
          <w:sz w:val="28"/>
          <w:szCs w:val="28"/>
          <w:highlight w:val="none"/>
        </w:rPr>
        <w:t>低位热值（MJ/Nm</w:t>
      </w:r>
      <w:r>
        <w:rPr>
          <w:rFonts w:hint="default" w:ascii="Times New Roman" w:hAnsi="Times New Roman" w:cs="Times New Roman"/>
          <w:color w:val="0000FF"/>
          <w:sz w:val="28"/>
          <w:szCs w:val="28"/>
          <w:highlight w:val="none"/>
          <w:vertAlign w:val="superscript"/>
        </w:rPr>
        <w:t>3</w:t>
      </w:r>
      <w:r>
        <w:rPr>
          <w:rFonts w:hint="default" w:ascii="Times New Roman" w:hAnsi="Times New Roman" w:cs="Times New Roman"/>
          <w:color w:val="0000FF"/>
          <w:sz w:val="28"/>
          <w:szCs w:val="28"/>
          <w:highlight w:val="none"/>
        </w:rPr>
        <w:t>）：34.635</w:t>
      </w:r>
    </w:p>
    <w:p>
      <w:pPr>
        <w:spacing w:line="360" w:lineRule="auto"/>
        <w:ind w:firstLine="562" w:firstLineChars="200"/>
        <w:rPr>
          <w:rFonts w:ascii="Times New Roman" w:hAnsi="Times New Roman" w:eastAsia="宋体" w:cs="Times New Roman"/>
          <w:b/>
          <w:bCs/>
          <w:color w:val="auto"/>
          <w:sz w:val="28"/>
          <w:highlight w:val="none"/>
        </w:rPr>
      </w:pPr>
      <w:r>
        <w:rPr>
          <w:rFonts w:hint="eastAsia" w:ascii="Times New Roman" w:hAnsi="Times New Roman" w:eastAsia="宋体" w:cs="Times New Roman"/>
          <w:b/>
          <w:bCs/>
          <w:color w:val="auto"/>
          <w:sz w:val="28"/>
          <w:highlight w:val="none"/>
          <w:lang w:val="en-US" w:eastAsia="zh-CN"/>
        </w:rPr>
        <w:t>2</w:t>
      </w:r>
      <w:r>
        <w:rPr>
          <w:rFonts w:hint="eastAsia" w:ascii="Times New Roman" w:hAnsi="Times New Roman" w:eastAsia="宋体" w:cs="Times New Roman"/>
          <w:b/>
          <w:bCs/>
          <w:color w:val="auto"/>
          <w:sz w:val="28"/>
          <w:highlight w:val="none"/>
        </w:rPr>
        <w:t>、“</w:t>
      </w:r>
      <w:r>
        <w:rPr>
          <w:rFonts w:hint="eastAsia" w:ascii="Times New Roman" w:hAnsi="Times New Roman" w:eastAsia="宋体" w:cs="Times New Roman"/>
          <w:b/>
          <w:bCs/>
          <w:color w:val="auto"/>
          <w:sz w:val="28"/>
          <w:highlight w:val="none"/>
          <w:lang w:val="en-US" w:eastAsia="zh-CN"/>
        </w:rPr>
        <w:t>大-</w:t>
      </w:r>
      <w:r>
        <w:rPr>
          <w:rFonts w:hint="eastAsia" w:ascii="Times New Roman" w:hAnsi="Times New Roman" w:eastAsia="宋体" w:cs="Times New Roman"/>
          <w:b/>
          <w:bCs/>
          <w:color w:val="auto"/>
          <w:sz w:val="28"/>
          <w:highlight w:val="none"/>
        </w:rPr>
        <w:t>沈”线管道天然气</w:t>
      </w:r>
    </w:p>
    <w:p>
      <w:pPr>
        <w:spacing w:line="360" w:lineRule="auto"/>
        <w:ind w:firstLine="560" w:firstLineChars="200"/>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（1）气源概况</w:t>
      </w:r>
    </w:p>
    <w:p>
      <w:pPr>
        <w:ind w:firstLine="560" w:firstLineChars="20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中石油大连LNG项目线路干线南起大连的LNG输气首站，经灯塔市、苏家屯地区、沈阳东南四环路至抚顺末站。全长约360km，供气规模为84×10</w:t>
      </w:r>
      <w:r>
        <w:rPr>
          <w:rFonts w:ascii="Times New Roman" w:hAnsi="Times New Roman"/>
          <w:color w:val="auto"/>
          <w:sz w:val="28"/>
          <w:szCs w:val="28"/>
          <w:highlight w:val="none"/>
          <w:vertAlign w:val="superscript"/>
          <w:lang w:bidi="th-TH"/>
        </w:rPr>
        <w:t>8</w:t>
      </w:r>
      <w:r>
        <w:rPr>
          <w:rFonts w:ascii="Times New Roman" w:hAnsi="Times New Roman"/>
          <w:color w:val="auto"/>
          <w:sz w:val="28"/>
          <w:szCs w:val="28"/>
          <w:highlight w:val="none"/>
          <w:lang w:bidi="th-TH"/>
        </w:rPr>
        <w:t>Nm³/a。主供气源为大连LNG外输天然气，管线规格D711，供气压力为2.5-4.0MPa。</w:t>
      </w:r>
    </w:p>
    <w:p>
      <w:pPr>
        <w:ind w:firstLine="560" w:firstLineChars="20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大连LNG接收站的大部分LNG在站内就地气化（外输压力为10MPa）后主要是供给大连市，</w:t>
      </w:r>
      <w:r>
        <w:rPr>
          <w:rFonts w:hint="eastAsia" w:ascii="Times New Roman" w:hAnsi="Times New Roman"/>
          <w:color w:val="auto"/>
          <w:sz w:val="28"/>
          <w:szCs w:val="28"/>
          <w:highlight w:val="none"/>
          <w:lang w:eastAsia="zh-CN" w:bidi="th-TH"/>
        </w:rPr>
        <w:t>另一部分</w:t>
      </w:r>
      <w:r>
        <w:rPr>
          <w:rFonts w:ascii="Times New Roman" w:hAnsi="Times New Roman"/>
          <w:color w:val="auto"/>
          <w:sz w:val="28"/>
          <w:szCs w:val="28"/>
          <w:highlight w:val="none"/>
          <w:lang w:bidi="th-TH"/>
        </w:rPr>
        <w:t>通过大连一沈阳输气干线途经营口、鞍山、辽阳输送至沈阳，并在沈阳与秦皇岛一沈阳输气干线相接，少部分LNG将通过汽车槽车运往省内外尚无管道燃气的城镇。</w:t>
      </w:r>
    </w:p>
    <w:p>
      <w:pPr>
        <w:spacing w:line="360" w:lineRule="auto"/>
        <w:ind w:firstLine="560" w:firstLineChars="200"/>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（2）气源参数</w:t>
      </w:r>
    </w:p>
    <w:p>
      <w:pPr>
        <w:spacing w:line="360" w:lineRule="auto"/>
        <w:ind w:firstLine="560" w:firstLineChars="200"/>
        <w:rPr>
          <w:rFonts w:hint="eastAsia" w:ascii="Times New Roman" w:hAnsi="Times New Roman" w:eastAsia="宋体" w:cs="Times New Roman"/>
          <w:b/>
          <w:bCs/>
          <w:i w:val="0"/>
          <w:iCs w:val="0"/>
          <w:color w:val="auto"/>
          <w:sz w:val="24"/>
          <w:highlight w:val="none"/>
        </w:rPr>
      </w:pPr>
      <w:r>
        <w:rPr>
          <w:rFonts w:hint="eastAsia"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lang w:val="en-US" w:eastAsia="zh-CN"/>
        </w:rPr>
        <w:t>大-</w:t>
      </w:r>
      <w:r>
        <w:rPr>
          <w:rFonts w:hint="eastAsia" w:ascii="Times New Roman" w:hAnsi="Times New Roman" w:eastAsia="宋体" w:cs="Times New Roman"/>
          <w:color w:val="auto"/>
          <w:sz w:val="28"/>
          <w:szCs w:val="28"/>
          <w:highlight w:val="none"/>
        </w:rPr>
        <w:t>沈”线气源参数见表</w:t>
      </w:r>
      <w:r>
        <w:rPr>
          <w:rFonts w:hint="eastAsia" w:ascii="Times New Roman" w:hAnsi="Times New Roman" w:eastAsia="宋体" w:cs="Times New Roman"/>
          <w:color w:val="auto"/>
          <w:sz w:val="28"/>
          <w:szCs w:val="28"/>
          <w:highlight w:val="none"/>
          <w:lang w:val="en-US" w:eastAsia="zh-CN"/>
        </w:rPr>
        <w:t>3</w:t>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lang w:val="en-US" w:eastAsia="zh-CN"/>
        </w:rPr>
        <w:t>2</w:t>
      </w:r>
      <w:r>
        <w:rPr>
          <w:rFonts w:hint="eastAsia" w:ascii="Times New Roman" w:hAnsi="Times New Roman" w:eastAsia="宋体" w:cs="Times New Roman"/>
          <w:color w:val="auto"/>
          <w:sz w:val="28"/>
          <w:szCs w:val="28"/>
          <w:highlight w:val="none"/>
        </w:rPr>
        <w:t>。</w:t>
      </w:r>
    </w:p>
    <w:p>
      <w:pPr>
        <w:spacing w:line="360" w:lineRule="auto"/>
        <w:jc w:val="center"/>
        <w:rPr>
          <w:rFonts w:hint="eastAsia" w:ascii="Times New Roman" w:hAnsi="Times New Roman" w:eastAsia="宋体" w:cs="Times New Roman"/>
          <w:b/>
          <w:bCs/>
          <w:i w:val="0"/>
          <w:iCs w:val="0"/>
          <w:color w:val="auto"/>
          <w:sz w:val="24"/>
          <w:highlight w:val="none"/>
        </w:rPr>
      </w:pPr>
      <w:r>
        <w:rPr>
          <w:rFonts w:hint="eastAsia" w:ascii="Times New Roman" w:hAnsi="Times New Roman" w:eastAsia="宋体" w:cs="Times New Roman"/>
          <w:b/>
          <w:bCs/>
          <w:i w:val="0"/>
          <w:iCs w:val="0"/>
          <w:color w:val="auto"/>
          <w:sz w:val="24"/>
          <w:highlight w:val="none"/>
        </w:rPr>
        <w:t>表</w:t>
      </w:r>
      <w:r>
        <w:rPr>
          <w:rFonts w:hint="eastAsia" w:ascii="Times New Roman" w:hAnsi="Times New Roman" w:eastAsia="宋体" w:cs="Times New Roman"/>
          <w:b/>
          <w:bCs/>
          <w:i w:val="0"/>
          <w:iCs w:val="0"/>
          <w:color w:val="auto"/>
          <w:sz w:val="24"/>
          <w:highlight w:val="none"/>
          <w:lang w:val="en-US" w:eastAsia="zh-CN"/>
        </w:rPr>
        <w:t>3</w:t>
      </w:r>
      <w:r>
        <w:rPr>
          <w:rFonts w:hint="eastAsia" w:ascii="Times New Roman" w:hAnsi="Times New Roman" w:eastAsia="宋体" w:cs="Times New Roman"/>
          <w:b/>
          <w:bCs/>
          <w:i w:val="0"/>
          <w:iCs w:val="0"/>
          <w:color w:val="auto"/>
          <w:sz w:val="24"/>
          <w:highlight w:val="none"/>
        </w:rPr>
        <w:t>-</w:t>
      </w:r>
      <w:r>
        <w:rPr>
          <w:rFonts w:hint="eastAsia" w:ascii="Times New Roman" w:hAnsi="Times New Roman" w:eastAsia="宋体" w:cs="Times New Roman"/>
          <w:b/>
          <w:bCs/>
          <w:i w:val="0"/>
          <w:iCs w:val="0"/>
          <w:color w:val="auto"/>
          <w:sz w:val="24"/>
          <w:highlight w:val="none"/>
          <w:lang w:val="en-US" w:eastAsia="zh-CN"/>
        </w:rPr>
        <w:t>2</w:t>
      </w:r>
      <w:r>
        <w:rPr>
          <w:rFonts w:hint="eastAsia" w:ascii="Times New Roman" w:hAnsi="Times New Roman" w:eastAsia="宋体" w:cs="Times New Roman"/>
          <w:b/>
          <w:bCs/>
          <w:i w:val="0"/>
          <w:iCs w:val="0"/>
          <w:color w:val="auto"/>
          <w:sz w:val="24"/>
          <w:highlight w:val="none"/>
        </w:rPr>
        <w:t xml:space="preserve">  “大沈线”液化天然气组分表</w:t>
      </w:r>
    </w:p>
    <w:tbl>
      <w:tblPr>
        <w:tblStyle w:val="28"/>
        <w:tblW w:w="10116"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131"/>
        <w:gridCol w:w="983"/>
        <w:gridCol w:w="984"/>
        <w:gridCol w:w="984"/>
        <w:gridCol w:w="983"/>
        <w:gridCol w:w="984"/>
        <w:gridCol w:w="983"/>
        <w:gridCol w:w="984"/>
        <w:gridCol w:w="1115"/>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组 分</w:t>
            </w:r>
          </w:p>
        </w:tc>
        <w:tc>
          <w:tcPr>
            <w:tcW w:w="1131"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C</w:t>
            </w:r>
            <w:r>
              <w:rPr>
                <w:rFonts w:hint="default" w:ascii="Times New Roman" w:hAnsi="Times New Roman"/>
                <w:b w:val="0"/>
                <w:bCs w:val="0"/>
                <w:color w:val="auto"/>
                <w:sz w:val="24"/>
                <w:szCs w:val="24"/>
                <w:highlight w:val="none"/>
                <w:vertAlign w:val="subscript"/>
              </w:rPr>
              <w:t>1</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C</w:t>
            </w:r>
            <w:r>
              <w:rPr>
                <w:rFonts w:hint="default" w:ascii="Times New Roman" w:hAnsi="Times New Roman"/>
                <w:b w:val="0"/>
                <w:bCs w:val="0"/>
                <w:color w:val="auto"/>
                <w:sz w:val="24"/>
                <w:szCs w:val="24"/>
                <w:highlight w:val="none"/>
                <w:vertAlign w:val="subscript"/>
              </w:rPr>
              <w:t>2</w:t>
            </w:r>
          </w:p>
        </w:tc>
        <w:tc>
          <w:tcPr>
            <w:tcW w:w="984"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C</w:t>
            </w:r>
            <w:r>
              <w:rPr>
                <w:rFonts w:hint="default" w:ascii="Times New Roman" w:hAnsi="Times New Roman"/>
                <w:b w:val="0"/>
                <w:bCs w:val="0"/>
                <w:color w:val="auto"/>
                <w:sz w:val="24"/>
                <w:szCs w:val="24"/>
                <w:highlight w:val="none"/>
                <w:vertAlign w:val="subscript"/>
              </w:rPr>
              <w:t>3</w:t>
            </w:r>
          </w:p>
        </w:tc>
        <w:tc>
          <w:tcPr>
            <w:tcW w:w="984"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iC</w:t>
            </w:r>
            <w:r>
              <w:rPr>
                <w:rFonts w:hint="default" w:ascii="Times New Roman" w:hAnsi="Times New Roman"/>
                <w:b w:val="0"/>
                <w:bCs w:val="0"/>
                <w:color w:val="auto"/>
                <w:sz w:val="24"/>
                <w:szCs w:val="24"/>
                <w:highlight w:val="none"/>
                <w:vertAlign w:val="subscript"/>
              </w:rPr>
              <w:t>4</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nC</w:t>
            </w:r>
            <w:r>
              <w:rPr>
                <w:rFonts w:hint="default" w:ascii="Times New Roman" w:hAnsi="Times New Roman"/>
                <w:b w:val="0"/>
                <w:bCs w:val="0"/>
                <w:color w:val="auto"/>
                <w:sz w:val="24"/>
                <w:szCs w:val="24"/>
                <w:highlight w:val="none"/>
                <w:vertAlign w:val="subscript"/>
              </w:rPr>
              <w:t>4</w:t>
            </w:r>
          </w:p>
        </w:tc>
        <w:tc>
          <w:tcPr>
            <w:tcW w:w="984"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iC</w:t>
            </w:r>
            <w:r>
              <w:rPr>
                <w:rFonts w:hint="default" w:ascii="Times New Roman" w:hAnsi="Times New Roman"/>
                <w:b w:val="0"/>
                <w:bCs w:val="0"/>
                <w:color w:val="auto"/>
                <w:sz w:val="24"/>
                <w:szCs w:val="24"/>
                <w:highlight w:val="none"/>
                <w:vertAlign w:val="subscript"/>
              </w:rPr>
              <w:t>5</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nC</w:t>
            </w:r>
            <w:r>
              <w:rPr>
                <w:rFonts w:hint="default" w:ascii="Times New Roman" w:hAnsi="Times New Roman"/>
                <w:b w:val="0"/>
                <w:bCs w:val="0"/>
                <w:color w:val="auto"/>
                <w:sz w:val="24"/>
                <w:szCs w:val="24"/>
                <w:highlight w:val="none"/>
                <w:vertAlign w:val="subscript"/>
              </w:rPr>
              <w:t>5</w:t>
            </w:r>
          </w:p>
        </w:tc>
        <w:tc>
          <w:tcPr>
            <w:tcW w:w="984"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N</w:t>
            </w:r>
            <w:r>
              <w:rPr>
                <w:rFonts w:hint="default" w:ascii="Times New Roman" w:hAnsi="Times New Roman"/>
                <w:b w:val="0"/>
                <w:bCs w:val="0"/>
                <w:color w:val="auto"/>
                <w:sz w:val="24"/>
                <w:szCs w:val="24"/>
                <w:highlight w:val="none"/>
                <w:vertAlign w:val="subscript"/>
              </w:rPr>
              <w:t>2</w:t>
            </w:r>
          </w:p>
        </w:tc>
        <w:tc>
          <w:tcPr>
            <w:tcW w:w="1115"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合 计</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分子（%）</w:t>
            </w:r>
          </w:p>
        </w:tc>
        <w:tc>
          <w:tcPr>
            <w:tcW w:w="1131"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96.299</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2.585</w:t>
            </w:r>
          </w:p>
        </w:tc>
        <w:tc>
          <w:tcPr>
            <w:tcW w:w="984"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0.489</w:t>
            </w:r>
          </w:p>
        </w:tc>
        <w:tc>
          <w:tcPr>
            <w:tcW w:w="984"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0.100</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0.118</w:t>
            </w:r>
          </w:p>
        </w:tc>
        <w:tc>
          <w:tcPr>
            <w:tcW w:w="984"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0.003</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0.003</w:t>
            </w:r>
          </w:p>
        </w:tc>
        <w:tc>
          <w:tcPr>
            <w:tcW w:w="984"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0.400</w:t>
            </w:r>
          </w:p>
        </w:tc>
        <w:tc>
          <w:tcPr>
            <w:tcW w:w="1115"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100</w:t>
            </w:r>
          </w:p>
        </w:tc>
      </w:tr>
    </w:tbl>
    <w:p>
      <w:pPr>
        <w:bidi w:val="0"/>
        <w:rPr>
          <w:color w:val="auto"/>
          <w:highlight w:val="none"/>
        </w:rPr>
      </w:pPr>
    </w:p>
    <w:p>
      <w:pPr>
        <w:ind w:firstLine="562" w:firstLineChars="200"/>
        <w:rPr>
          <w:rFonts w:ascii="Times New Roman" w:hAnsi="Times New Roman" w:cs="Times New Roman"/>
          <w:b/>
          <w:bCs/>
          <w:color w:val="0000FF"/>
          <w:sz w:val="28"/>
          <w:szCs w:val="28"/>
          <w:highlight w:val="none"/>
          <w:lang w:bidi="th-TH"/>
        </w:rPr>
      </w:pPr>
      <w:r>
        <w:rPr>
          <w:rFonts w:hint="eastAsia" w:ascii="Times New Roman" w:hAnsi="Times New Roman" w:cs="Times New Roman"/>
          <w:b/>
          <w:bCs/>
          <w:color w:val="0000FF"/>
          <w:sz w:val="28"/>
          <w:szCs w:val="28"/>
          <w:highlight w:val="none"/>
          <w:lang w:val="en-US" w:eastAsia="zh-CN" w:bidi="th-TH"/>
        </w:rPr>
        <w:t>3、</w:t>
      </w:r>
      <w:r>
        <w:rPr>
          <w:rFonts w:hint="eastAsia" w:ascii="Times New Roman" w:hAnsi="Times New Roman" w:cs="Times New Roman"/>
          <w:b/>
          <w:bCs/>
          <w:color w:val="0000FF"/>
          <w:sz w:val="28"/>
          <w:szCs w:val="28"/>
          <w:highlight w:val="none"/>
          <w:lang w:bidi="th-TH"/>
        </w:rPr>
        <w:t>中俄东线</w:t>
      </w:r>
      <w:r>
        <w:rPr>
          <w:rFonts w:hint="eastAsia" w:ascii="Times New Roman" w:hAnsi="Times New Roman" w:eastAsia="宋体" w:cs="Times New Roman"/>
          <w:b/>
          <w:bCs/>
          <w:color w:val="0000FF"/>
          <w:sz w:val="28"/>
          <w:highlight w:val="none"/>
        </w:rPr>
        <w:t>管道天然气</w:t>
      </w:r>
    </w:p>
    <w:p>
      <w:pPr>
        <w:pStyle w:val="7"/>
        <w:ind w:firstLine="560"/>
        <w:jc w:val="left"/>
        <w:rPr>
          <w:rFonts w:hint="eastAsia" w:ascii="Times New Roman" w:hAnsi="Times New Roman" w:eastAsia="宋体" w:cs="Times New Roman"/>
          <w:b w:val="0"/>
          <w:bCs w:val="0"/>
          <w:color w:val="0000FF"/>
          <w:sz w:val="28"/>
          <w:szCs w:val="28"/>
          <w:highlight w:val="none"/>
          <w:lang w:val="en-US" w:eastAsia="zh-CN"/>
        </w:rPr>
      </w:pPr>
      <w:r>
        <w:rPr>
          <w:rFonts w:hint="eastAsia" w:ascii="Times New Roman" w:hAnsi="Times New Roman" w:eastAsia="宋体" w:cs="Times New Roman"/>
          <w:b w:val="0"/>
          <w:bCs w:val="0"/>
          <w:color w:val="0000FF"/>
          <w:sz w:val="28"/>
          <w:szCs w:val="28"/>
          <w:highlight w:val="none"/>
          <w:lang w:val="en-US" w:eastAsia="zh-CN"/>
        </w:rPr>
        <w:t>该气源管线起点为俄罗斯伊尔库茨克科维克金气田，从黑龙江黑河市进入中国境内，主干线经由哈尔滨到达沈阳后分出两个支线：一路至北京，另一路经大连至韩国。哈沈线全长365km，管径1016mm，设计压力10MPa，共设8座站场、12座阀室，与大沈线、秦沈线在沈阳汇合，共同构成东北天然气管网。哈沈线、秦沈线和大沈线具有双向输气功能，投产初期中俄东线在长岭分输站至哈沈线长春分输站建一条长岭至长春支线，通过哈沈线反供秦沈线。</w:t>
      </w:r>
    </w:p>
    <w:p>
      <w:pPr>
        <w:pStyle w:val="7"/>
        <w:ind w:firstLine="560"/>
        <w:jc w:val="left"/>
        <w:rPr>
          <w:rFonts w:hint="eastAsia" w:ascii="Times New Roman" w:hAnsi="Times New Roman" w:eastAsia="宋体" w:cs="Times New Roman"/>
          <w:b w:val="0"/>
          <w:bCs w:val="0"/>
          <w:color w:val="0000FF"/>
          <w:sz w:val="28"/>
          <w:szCs w:val="28"/>
          <w:highlight w:val="none"/>
          <w:lang w:val="en-US" w:eastAsia="zh-CN"/>
        </w:rPr>
      </w:pPr>
      <w:r>
        <w:rPr>
          <w:rFonts w:hint="eastAsia" w:ascii="Times New Roman" w:hAnsi="Times New Roman" w:eastAsia="宋体" w:cs="Times New Roman"/>
          <w:b w:val="0"/>
          <w:bCs w:val="0"/>
          <w:color w:val="0000FF"/>
          <w:sz w:val="28"/>
          <w:szCs w:val="28"/>
          <w:highlight w:val="none"/>
          <w:lang w:val="en-US" w:eastAsia="zh-CN"/>
        </w:rPr>
        <w:t>2014年5月，中石油与俄罗斯签署了《中俄东线管道供气购销协议》。俄罗斯通过中俄东线向中国供气，此次俄罗斯进口天然气目标市场主要是我国东北、京津冀和长江三角地区，并将通过管道联网，平衡全国供气格局。根据协议，供气气量逐年增长，最终达到380×108Nm³/a，累计合同期30年。</w:t>
      </w:r>
    </w:p>
    <w:p>
      <w:pPr>
        <w:pStyle w:val="7"/>
        <w:ind w:firstLine="560"/>
        <w:jc w:val="left"/>
        <w:rPr>
          <w:rFonts w:hint="eastAsia" w:ascii="Times New Roman" w:hAnsi="Times New Roman" w:eastAsia="宋体" w:cs="Times New Roman"/>
          <w:b/>
          <w:bCs/>
          <w:color w:val="0000FF"/>
          <w:sz w:val="28"/>
          <w:szCs w:val="28"/>
          <w:highlight w:val="none"/>
          <w:lang w:val="en-US" w:eastAsia="zh-CN"/>
        </w:rPr>
      </w:pPr>
      <w:r>
        <w:rPr>
          <w:rFonts w:hint="eastAsia" w:ascii="Times New Roman" w:hAnsi="Times New Roman" w:eastAsia="宋体" w:cs="Times New Roman"/>
          <w:b w:val="0"/>
          <w:bCs w:val="0"/>
          <w:color w:val="0000FF"/>
          <w:sz w:val="28"/>
          <w:szCs w:val="28"/>
          <w:highlight w:val="none"/>
          <w:lang w:val="en-US" w:eastAsia="zh-CN"/>
        </w:rPr>
        <w:t>《国家发展改革委办公厅关于中俄东线天然气管道项目有关问题的复函》指出，根据初步设计，中俄东线天然气管道起自黑龙江黑河市，途经黑龙江、吉林、内蒙古、辽宁、河北、天津、山东、江苏、上海9个省份，止于上海市。为合理安排项目建设周期，分为北段（黑龙江黑河—长岭吉林干线及长岭—长春支线）、中段（吉林长岭—河北永清）、南段（河北永清—上海）。</w:t>
      </w:r>
    </w:p>
    <w:p>
      <w:pPr>
        <w:spacing w:line="360" w:lineRule="auto"/>
        <w:ind w:firstLine="562" w:firstLineChars="200"/>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lang w:val="en-US" w:eastAsia="zh-CN"/>
        </w:rPr>
        <w:t>3</w:t>
      </w:r>
      <w:r>
        <w:rPr>
          <w:rFonts w:ascii="Times New Roman" w:hAnsi="Times New Roman" w:eastAsia="宋体" w:cs="Times New Roman"/>
          <w:b/>
          <w:bCs/>
          <w:color w:val="auto"/>
          <w:sz w:val="28"/>
          <w:szCs w:val="28"/>
          <w:highlight w:val="none"/>
        </w:rPr>
        <w:t>、液化天然气（LNG）</w:t>
      </w:r>
    </w:p>
    <w:p>
      <w:pPr>
        <w:ind w:firstLine="560" w:firstLineChars="200"/>
        <w:rPr>
          <w:rFonts w:ascii="Times New Roman" w:hAnsi="Times New Roman" w:cs="Times New Roman"/>
          <w:color w:val="auto"/>
          <w:sz w:val="28"/>
          <w:szCs w:val="28"/>
          <w:highlight w:val="none"/>
          <w:lang w:bidi="th-TH"/>
        </w:rPr>
      </w:pPr>
      <w:bookmarkStart w:id="40" w:name="_Hlk97751682"/>
      <w:r>
        <w:rPr>
          <w:rFonts w:ascii="Times New Roman" w:hAnsi="Times New Roman" w:cs="Times New Roman"/>
          <w:color w:val="auto"/>
          <w:sz w:val="28"/>
          <w:szCs w:val="28"/>
          <w:highlight w:val="none"/>
          <w:lang w:bidi="th-TH"/>
        </w:rPr>
        <w:t>同等质量的天然气要比液化天然气体积高出将近600倍，而且液化天然气的比重小于水的一半也不溶于水，因此将天然气液化在天然气的储存和运输中都具有十分明显的优越性。LNG储运方便，具有灵活机动的特点，可作为城镇燃气的主要气源、应急与调峰气源。</w:t>
      </w:r>
    </w:p>
    <w:p>
      <w:pPr>
        <w:ind w:firstLine="562" w:firstLineChars="200"/>
        <w:rPr>
          <w:rFonts w:ascii="Times New Roman" w:hAnsi="Times New Roman" w:cs="Times New Roman"/>
          <w:b/>
          <w:bCs/>
          <w:color w:val="auto"/>
          <w:sz w:val="28"/>
          <w:szCs w:val="28"/>
          <w:highlight w:val="none"/>
        </w:rPr>
      </w:pPr>
      <w:r>
        <w:rPr>
          <w:rFonts w:ascii="Times New Roman" w:hAnsi="Times New Roman" w:cs="Times New Roman"/>
          <w:b/>
          <w:bCs/>
          <w:color w:val="auto"/>
          <w:sz w:val="28"/>
          <w:szCs w:val="28"/>
          <w:highlight w:val="none"/>
        </w:rPr>
        <w:t>（1）国内LNG资源概况</w:t>
      </w:r>
    </w:p>
    <w:p>
      <w:pPr>
        <w:ind w:firstLine="42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我国对LNG产业的发展越来越重视，正在规划和实施的沿海LNG项目有：广东、福建、浙江、上海、江苏、山东、辽宁、宁夏、天津、河北唐山等，这些项目将最终构成一个沿海LNG接收站与输送网络。</w:t>
      </w:r>
    </w:p>
    <w:p>
      <w:pPr>
        <w:ind w:firstLine="562" w:firstLineChars="200"/>
        <w:rPr>
          <w:rFonts w:ascii="Times New Roman" w:hAnsi="Times New Roman" w:cs="Times New Roman"/>
          <w:b/>
          <w:bCs/>
          <w:color w:val="auto"/>
          <w:sz w:val="28"/>
          <w:szCs w:val="28"/>
          <w:highlight w:val="none"/>
        </w:rPr>
      </w:pPr>
      <w:r>
        <w:rPr>
          <w:rFonts w:ascii="Times New Roman" w:hAnsi="Times New Roman" w:cs="Times New Roman"/>
          <w:b/>
          <w:bCs/>
          <w:color w:val="auto"/>
          <w:sz w:val="28"/>
          <w:szCs w:val="28"/>
          <w:highlight w:val="none"/>
        </w:rPr>
        <w:t>（2）</w:t>
      </w:r>
      <w:r>
        <w:rPr>
          <w:rFonts w:hint="eastAsia" w:ascii="Times New Roman" w:hAnsi="Times New Roman" w:cs="Times New Roman"/>
          <w:b/>
          <w:bCs/>
          <w:color w:val="auto"/>
          <w:sz w:val="28"/>
          <w:szCs w:val="28"/>
          <w:highlight w:val="none"/>
        </w:rPr>
        <w:t>大连LNG项目</w:t>
      </w:r>
    </w:p>
    <w:p>
      <w:pPr>
        <w:autoSpaceDE w:val="0"/>
        <w:autoSpaceDN w:val="0"/>
        <w:adjustRightInd w:val="0"/>
        <w:spacing w:line="360" w:lineRule="auto"/>
        <w:ind w:firstLine="560" w:firstLineChars="200"/>
        <w:rPr>
          <w:rFonts w:ascii="Times New Roman" w:hAnsi="Times New Roman" w:cs="Times New Roman"/>
          <w:color w:val="auto"/>
          <w:sz w:val="28"/>
          <w:highlight w:val="none"/>
        </w:rPr>
      </w:pPr>
      <w:bookmarkStart w:id="41" w:name="_Hlk98603037"/>
      <w:r>
        <w:rPr>
          <w:rFonts w:ascii="Times New Roman" w:hAnsi="Times New Roman" w:cs="Times New Roman"/>
          <w:color w:val="auto"/>
          <w:sz w:val="28"/>
          <w:highlight w:val="none"/>
        </w:rPr>
        <w:t>大连LNG接收站拟建于大连市大孤山半岛东南部，30×10</w:t>
      </w:r>
      <w:r>
        <w:rPr>
          <w:rFonts w:ascii="Times New Roman" w:hAnsi="Times New Roman" w:cs="Times New Roman"/>
          <w:color w:val="auto"/>
          <w:sz w:val="28"/>
          <w:highlight w:val="none"/>
          <w:vertAlign w:val="superscript"/>
        </w:rPr>
        <w:t>4</w:t>
      </w:r>
      <w:r>
        <w:rPr>
          <w:rFonts w:ascii="Times New Roman" w:hAnsi="Times New Roman" w:cs="Times New Roman"/>
          <w:color w:val="auto"/>
          <w:sz w:val="28"/>
          <w:highlight w:val="none"/>
        </w:rPr>
        <w:t>t/a级原油码头与30×10</w:t>
      </w:r>
      <w:r>
        <w:rPr>
          <w:rFonts w:ascii="Times New Roman" w:hAnsi="Times New Roman" w:cs="Times New Roman"/>
          <w:color w:val="auto"/>
          <w:sz w:val="28"/>
          <w:highlight w:val="none"/>
          <w:vertAlign w:val="superscript"/>
        </w:rPr>
        <w:t>4</w:t>
      </w:r>
      <w:r>
        <w:rPr>
          <w:rFonts w:ascii="Times New Roman" w:hAnsi="Times New Roman" w:cs="Times New Roman"/>
          <w:color w:val="auto"/>
          <w:sz w:val="28"/>
          <w:highlight w:val="none"/>
        </w:rPr>
        <w:t>t/a级矿石码头之间的临海陆域。建设场地东、南临海，北侧和西侧分别为规划大连保税区国家原油储备基地的办公区、工业区和油品罐区。大连港疗养院及30×10</w:t>
      </w:r>
      <w:r>
        <w:rPr>
          <w:rFonts w:ascii="Times New Roman" w:hAnsi="Times New Roman" w:cs="Times New Roman"/>
          <w:color w:val="auto"/>
          <w:sz w:val="28"/>
          <w:highlight w:val="none"/>
          <w:vertAlign w:val="superscript"/>
        </w:rPr>
        <w:t>4</w:t>
      </w:r>
      <w:r>
        <w:rPr>
          <w:rFonts w:ascii="Times New Roman" w:hAnsi="Times New Roman" w:cs="Times New Roman"/>
          <w:color w:val="auto"/>
          <w:sz w:val="28"/>
          <w:highlight w:val="none"/>
        </w:rPr>
        <w:t>t/a级原油码头位于该场地西北1.9km，30×10</w:t>
      </w:r>
      <w:r>
        <w:rPr>
          <w:rFonts w:ascii="Times New Roman" w:hAnsi="Times New Roman" w:cs="Times New Roman"/>
          <w:color w:val="auto"/>
          <w:sz w:val="28"/>
          <w:highlight w:val="none"/>
          <w:vertAlign w:val="superscript"/>
        </w:rPr>
        <w:t>4</w:t>
      </w:r>
      <w:r>
        <w:rPr>
          <w:rFonts w:ascii="Times New Roman" w:hAnsi="Times New Roman" w:cs="Times New Roman"/>
          <w:color w:val="auto"/>
          <w:sz w:val="28"/>
          <w:highlight w:val="none"/>
        </w:rPr>
        <w:t>t/a矿石码头及矿石堆场位于场地西南0.5km，海防所位于该建设场地的西部。大连LNG接收站工程分两期建设，一期建设规模300×10</w:t>
      </w:r>
      <w:r>
        <w:rPr>
          <w:rFonts w:ascii="Times New Roman" w:hAnsi="Times New Roman" w:cs="Times New Roman"/>
          <w:color w:val="auto"/>
          <w:sz w:val="28"/>
          <w:highlight w:val="none"/>
          <w:vertAlign w:val="superscript"/>
        </w:rPr>
        <w:t>4</w:t>
      </w:r>
      <w:r>
        <w:rPr>
          <w:rFonts w:ascii="Times New Roman" w:hAnsi="Times New Roman" w:cs="Times New Roman"/>
          <w:color w:val="auto"/>
          <w:sz w:val="28"/>
          <w:highlight w:val="none"/>
        </w:rPr>
        <w:t>t/a，建16×10</w:t>
      </w:r>
      <w:r>
        <w:rPr>
          <w:rFonts w:ascii="Times New Roman" w:hAnsi="Times New Roman" w:cs="Times New Roman"/>
          <w:color w:val="auto"/>
          <w:sz w:val="28"/>
          <w:highlight w:val="none"/>
          <w:vertAlign w:val="superscript"/>
        </w:rPr>
        <w:t>4</w:t>
      </w:r>
      <w:r>
        <w:rPr>
          <w:rFonts w:ascii="Times New Roman" w:hAnsi="Times New Roman" w:cs="Times New Roman"/>
          <w:color w:val="auto"/>
          <w:sz w:val="28"/>
          <w:highlight w:val="none"/>
        </w:rPr>
        <w:t>m</w:t>
      </w:r>
      <w:r>
        <w:rPr>
          <w:rFonts w:ascii="Times New Roman" w:hAnsi="Times New Roman" w:cs="Times New Roman"/>
          <w:color w:val="auto"/>
          <w:sz w:val="28"/>
          <w:highlight w:val="none"/>
          <w:vertAlign w:val="superscript"/>
        </w:rPr>
        <w:t>3</w:t>
      </w:r>
      <w:r>
        <w:rPr>
          <w:rFonts w:ascii="Times New Roman" w:hAnsi="Times New Roman" w:cs="Times New Roman"/>
          <w:color w:val="auto"/>
          <w:sz w:val="28"/>
          <w:highlight w:val="none"/>
        </w:rPr>
        <w:t>储罐2座，总容量为32×10</w:t>
      </w:r>
      <w:r>
        <w:rPr>
          <w:rFonts w:ascii="Times New Roman" w:hAnsi="Times New Roman" w:cs="Times New Roman"/>
          <w:color w:val="auto"/>
          <w:sz w:val="28"/>
          <w:highlight w:val="none"/>
          <w:vertAlign w:val="superscript"/>
        </w:rPr>
        <w:t>4</w:t>
      </w:r>
      <w:r>
        <w:rPr>
          <w:rFonts w:ascii="Times New Roman" w:hAnsi="Times New Roman" w:cs="Times New Roman"/>
          <w:color w:val="auto"/>
          <w:sz w:val="28"/>
          <w:highlight w:val="none"/>
        </w:rPr>
        <w:t>m</w:t>
      </w:r>
      <w:r>
        <w:rPr>
          <w:rFonts w:ascii="Times New Roman" w:hAnsi="Times New Roman" w:cs="Times New Roman"/>
          <w:color w:val="auto"/>
          <w:sz w:val="28"/>
          <w:highlight w:val="none"/>
          <w:vertAlign w:val="superscript"/>
        </w:rPr>
        <w:t>3</w:t>
      </w:r>
      <w:r>
        <w:rPr>
          <w:rFonts w:ascii="Times New Roman" w:hAnsi="Times New Roman" w:cs="Times New Roman"/>
          <w:color w:val="auto"/>
          <w:sz w:val="28"/>
          <w:highlight w:val="none"/>
        </w:rPr>
        <w:t>，二期建设规模将达到600×10</w:t>
      </w:r>
      <w:r>
        <w:rPr>
          <w:rFonts w:ascii="Times New Roman" w:hAnsi="Times New Roman" w:cs="Times New Roman"/>
          <w:color w:val="auto"/>
          <w:sz w:val="28"/>
          <w:highlight w:val="none"/>
          <w:vertAlign w:val="superscript"/>
        </w:rPr>
        <w:t>4</w:t>
      </w:r>
      <w:r>
        <w:rPr>
          <w:rFonts w:ascii="Times New Roman" w:hAnsi="Times New Roman" w:cs="Times New Roman"/>
          <w:color w:val="auto"/>
          <w:sz w:val="28"/>
          <w:highlight w:val="none"/>
        </w:rPr>
        <w:t>t/a。</w:t>
      </w:r>
    </w:p>
    <w:p>
      <w:pPr>
        <w:autoSpaceDE w:val="0"/>
        <w:autoSpaceDN w:val="0"/>
        <w:adjustRightInd w:val="0"/>
        <w:spacing w:line="360" w:lineRule="auto"/>
        <w:ind w:firstLine="562" w:firstLineChars="200"/>
        <w:rPr>
          <w:rFonts w:hint="eastAsia" w:ascii="Times New Roman" w:hAnsi="Times New Roman" w:cs="Times New Roman"/>
          <w:b/>
          <w:bCs/>
          <w:color w:val="auto"/>
          <w:sz w:val="28"/>
          <w:highlight w:val="none"/>
          <w:lang w:val="en-US" w:eastAsia="zh-CN"/>
        </w:rPr>
      </w:pPr>
      <w:r>
        <w:rPr>
          <w:rFonts w:hint="eastAsia" w:ascii="Times New Roman" w:hAnsi="Times New Roman" w:cs="Times New Roman"/>
          <w:b/>
          <w:bCs/>
          <w:color w:val="auto"/>
          <w:sz w:val="28"/>
          <w:highlight w:val="none"/>
          <w:lang w:eastAsia="zh-CN"/>
        </w:rPr>
        <w:t>（</w:t>
      </w:r>
      <w:r>
        <w:rPr>
          <w:rFonts w:hint="eastAsia" w:ascii="Times New Roman" w:hAnsi="Times New Roman" w:cs="Times New Roman"/>
          <w:b/>
          <w:bCs/>
          <w:color w:val="auto"/>
          <w:sz w:val="28"/>
          <w:highlight w:val="none"/>
          <w:lang w:val="en-US" w:eastAsia="zh-CN"/>
        </w:rPr>
        <w:t>3</w:t>
      </w:r>
      <w:r>
        <w:rPr>
          <w:rFonts w:hint="eastAsia" w:ascii="Times New Roman" w:hAnsi="Times New Roman" w:cs="Times New Roman"/>
          <w:b/>
          <w:bCs/>
          <w:color w:val="auto"/>
          <w:sz w:val="28"/>
          <w:highlight w:val="none"/>
          <w:lang w:eastAsia="zh-CN"/>
        </w:rPr>
        <w:t>）</w:t>
      </w:r>
      <w:r>
        <w:rPr>
          <w:rFonts w:hint="eastAsia" w:ascii="Times New Roman" w:hAnsi="Times New Roman" w:cs="Times New Roman"/>
          <w:b/>
          <w:bCs/>
          <w:color w:val="auto"/>
          <w:sz w:val="28"/>
          <w:highlight w:val="none"/>
          <w:lang w:val="en-US" w:eastAsia="zh-CN"/>
        </w:rPr>
        <w:t>营口LNG接收站项目</w:t>
      </w:r>
    </w:p>
    <w:p>
      <w:pPr>
        <w:autoSpaceDE w:val="0"/>
        <w:autoSpaceDN w:val="0"/>
        <w:adjustRightInd w:val="0"/>
        <w:spacing w:line="360" w:lineRule="auto"/>
        <w:ind w:firstLine="560" w:firstLineChars="200"/>
        <w:rPr>
          <w:rFonts w:hint="default" w:ascii="Times New Roman" w:hAnsi="Times New Roman" w:cs="Times New Roman"/>
          <w:color w:val="auto"/>
          <w:sz w:val="28"/>
          <w:highlight w:val="none"/>
          <w:lang w:val="en-US" w:eastAsia="zh-CN"/>
        </w:rPr>
      </w:pPr>
      <w:r>
        <w:rPr>
          <w:rFonts w:hint="default" w:ascii="Times New Roman" w:hAnsi="Times New Roman" w:cs="Times New Roman"/>
          <w:color w:val="auto"/>
          <w:sz w:val="28"/>
          <w:highlight w:val="none"/>
          <w:lang w:val="en-US" w:eastAsia="zh-CN"/>
        </w:rPr>
        <w:t>中交营口LNG接收站项目位于营口港仙人岛港区，是我国地理纬度最高，东北地区一次性建设规模最大的液化天然气（LNG）接收站项目</w:t>
      </w:r>
      <w:r>
        <w:rPr>
          <w:rFonts w:hint="eastAsia" w:ascii="Times New Roman" w:hAnsi="Times New Roman" w:cs="Times New Roman"/>
          <w:color w:val="auto"/>
          <w:sz w:val="28"/>
          <w:highlight w:val="none"/>
          <w:lang w:val="en-US" w:eastAsia="zh-CN"/>
        </w:rPr>
        <w:t>。该项目</w:t>
      </w:r>
      <w:r>
        <w:rPr>
          <w:rFonts w:hint="default" w:ascii="Times New Roman" w:hAnsi="Times New Roman" w:cs="Times New Roman"/>
          <w:color w:val="auto"/>
          <w:sz w:val="28"/>
          <w:highlight w:val="none"/>
          <w:lang w:val="en-US" w:eastAsia="zh-CN"/>
        </w:rPr>
        <w:t>年最大接收能力为620万吨，总投资约116亿元，占地总面积55.2万平方米，涵盖码头与栈桥区、LNG储罐区、工艺生产区等九大区域，主要建设内容包括8</w:t>
      </w:r>
      <w:r>
        <w:rPr>
          <w:rFonts w:hint="eastAsia" w:ascii="Times New Roman" w:hAnsi="Times New Roman" w:cs="Times New Roman"/>
          <w:color w:val="auto"/>
          <w:sz w:val="28"/>
          <w:highlight w:val="none"/>
          <w:lang w:val="en-US" w:eastAsia="zh-CN"/>
        </w:rPr>
        <w:t>-</w:t>
      </w:r>
      <w:r>
        <w:rPr>
          <w:rFonts w:hint="default" w:ascii="Times New Roman" w:hAnsi="Times New Roman" w:cs="Times New Roman"/>
          <w:color w:val="auto"/>
          <w:sz w:val="28"/>
          <w:highlight w:val="none"/>
          <w:lang w:val="en-US" w:eastAsia="zh-CN"/>
        </w:rPr>
        <w:t>26.6</w:t>
      </w:r>
      <w:r>
        <w:rPr>
          <w:rFonts w:ascii="Times New Roman" w:hAnsi="Times New Roman" w:cs="Times New Roman"/>
          <w:color w:val="auto"/>
          <w:sz w:val="28"/>
          <w:highlight w:val="none"/>
        </w:rPr>
        <w:t>×10</w:t>
      </w:r>
      <w:r>
        <w:rPr>
          <w:rFonts w:ascii="Times New Roman" w:hAnsi="Times New Roman" w:cs="Times New Roman"/>
          <w:color w:val="auto"/>
          <w:sz w:val="28"/>
          <w:highlight w:val="none"/>
          <w:vertAlign w:val="superscript"/>
        </w:rPr>
        <w:t>4</w:t>
      </w:r>
      <w:r>
        <w:rPr>
          <w:rFonts w:ascii="Times New Roman" w:hAnsi="Times New Roman" w:cs="Times New Roman"/>
          <w:color w:val="auto"/>
          <w:sz w:val="28"/>
          <w:highlight w:val="none"/>
        </w:rPr>
        <w:t>m</w:t>
      </w:r>
      <w:r>
        <w:rPr>
          <w:rFonts w:ascii="Times New Roman" w:hAnsi="Times New Roman" w:cs="Times New Roman"/>
          <w:color w:val="auto"/>
          <w:sz w:val="28"/>
          <w:highlight w:val="none"/>
          <w:vertAlign w:val="superscript"/>
        </w:rPr>
        <w:t>3</w:t>
      </w:r>
      <w:r>
        <w:rPr>
          <w:rFonts w:hint="eastAsia" w:ascii="Times New Roman" w:hAnsi="Times New Roman" w:cs="Times New Roman"/>
          <w:color w:val="auto"/>
          <w:sz w:val="28"/>
          <w:highlight w:val="none"/>
          <w:vertAlign w:val="baseline"/>
          <w:lang w:val="en-US" w:eastAsia="zh-CN"/>
        </w:rPr>
        <w:t>的</w:t>
      </w:r>
      <w:r>
        <w:rPr>
          <w:rFonts w:hint="default" w:ascii="Times New Roman" w:hAnsi="Times New Roman" w:cs="Times New Roman"/>
          <w:color w:val="auto"/>
          <w:sz w:val="28"/>
          <w:highlight w:val="none"/>
          <w:lang w:val="en-US" w:eastAsia="zh-CN"/>
        </w:rPr>
        <w:t>LNG专用泊位1座，20</w:t>
      </w:r>
      <w:r>
        <w:rPr>
          <w:rFonts w:ascii="Times New Roman" w:hAnsi="Times New Roman" w:cs="Times New Roman"/>
          <w:color w:val="auto"/>
          <w:sz w:val="28"/>
          <w:highlight w:val="none"/>
        </w:rPr>
        <w:t>×10</w:t>
      </w:r>
      <w:r>
        <w:rPr>
          <w:rFonts w:ascii="Times New Roman" w:hAnsi="Times New Roman" w:cs="Times New Roman"/>
          <w:color w:val="auto"/>
          <w:sz w:val="28"/>
          <w:highlight w:val="none"/>
          <w:vertAlign w:val="superscript"/>
        </w:rPr>
        <w:t>4</w:t>
      </w:r>
      <w:r>
        <w:rPr>
          <w:rFonts w:ascii="Times New Roman" w:hAnsi="Times New Roman" w:cs="Times New Roman"/>
          <w:color w:val="auto"/>
          <w:sz w:val="28"/>
          <w:highlight w:val="none"/>
        </w:rPr>
        <w:t>m</w:t>
      </w:r>
      <w:r>
        <w:rPr>
          <w:rFonts w:ascii="Times New Roman" w:hAnsi="Times New Roman" w:cs="Times New Roman"/>
          <w:color w:val="auto"/>
          <w:sz w:val="28"/>
          <w:highlight w:val="none"/>
          <w:vertAlign w:val="superscript"/>
        </w:rPr>
        <w:t>3</w:t>
      </w:r>
      <w:r>
        <w:rPr>
          <w:rFonts w:hint="eastAsia" w:ascii="Times New Roman" w:hAnsi="Times New Roman" w:cs="Times New Roman"/>
          <w:color w:val="auto"/>
          <w:sz w:val="28"/>
          <w:highlight w:val="none"/>
          <w:vertAlign w:val="baseline"/>
          <w:lang w:val="en-US" w:eastAsia="zh-CN"/>
        </w:rPr>
        <w:t>的</w:t>
      </w:r>
      <w:r>
        <w:rPr>
          <w:rFonts w:hint="default" w:ascii="Times New Roman" w:hAnsi="Times New Roman" w:cs="Times New Roman"/>
          <w:color w:val="auto"/>
          <w:sz w:val="28"/>
          <w:highlight w:val="none"/>
          <w:lang w:val="en-US" w:eastAsia="zh-CN"/>
        </w:rPr>
        <w:t>LNG储罐4座，以及配套工艺、公用工程、辅助工程设施。</w:t>
      </w:r>
      <w:r>
        <w:rPr>
          <w:rFonts w:hint="eastAsia" w:ascii="Times New Roman" w:hAnsi="Times New Roman" w:cs="Times New Roman"/>
          <w:color w:val="auto"/>
          <w:sz w:val="28"/>
          <w:highlight w:val="none"/>
          <w:lang w:val="en-US" w:eastAsia="zh-CN"/>
        </w:rPr>
        <w:t>建成达产后，</w:t>
      </w:r>
      <w:r>
        <w:rPr>
          <w:rFonts w:hint="default" w:ascii="Times New Roman" w:hAnsi="Times New Roman" w:cs="Times New Roman"/>
          <w:color w:val="auto"/>
          <w:sz w:val="28"/>
          <w:highlight w:val="none"/>
          <w:lang w:val="en-US" w:eastAsia="zh-CN"/>
        </w:rPr>
        <w:t>每年为东北及内蒙古东部地区提供87</w:t>
      </w:r>
      <w:r>
        <w:rPr>
          <w:rFonts w:ascii="Times New Roman" w:hAnsi="Times New Roman" w:cs="Times New Roman"/>
          <w:color w:val="auto"/>
          <w:sz w:val="28"/>
          <w:highlight w:val="none"/>
        </w:rPr>
        <w:t>×10</w:t>
      </w:r>
      <w:r>
        <w:rPr>
          <w:rFonts w:hint="eastAsia" w:ascii="Times New Roman" w:hAnsi="Times New Roman" w:cs="Times New Roman"/>
          <w:color w:val="auto"/>
          <w:sz w:val="28"/>
          <w:highlight w:val="none"/>
          <w:vertAlign w:val="superscript"/>
          <w:lang w:val="en-US" w:eastAsia="zh-CN"/>
        </w:rPr>
        <w:t>8</w:t>
      </w:r>
      <w:r>
        <w:rPr>
          <w:rFonts w:ascii="Times New Roman" w:hAnsi="Times New Roman" w:cs="Times New Roman"/>
          <w:color w:val="auto"/>
          <w:sz w:val="28"/>
          <w:highlight w:val="none"/>
        </w:rPr>
        <w:t>m</w:t>
      </w:r>
      <w:r>
        <w:rPr>
          <w:rFonts w:ascii="Times New Roman" w:hAnsi="Times New Roman" w:cs="Times New Roman"/>
          <w:color w:val="auto"/>
          <w:sz w:val="28"/>
          <w:highlight w:val="none"/>
          <w:vertAlign w:val="superscript"/>
        </w:rPr>
        <w:t>3</w:t>
      </w:r>
      <w:r>
        <w:rPr>
          <w:rFonts w:hint="default" w:ascii="Times New Roman" w:hAnsi="Times New Roman" w:cs="Times New Roman"/>
          <w:color w:val="auto"/>
          <w:sz w:val="28"/>
          <w:highlight w:val="none"/>
          <w:lang w:val="en-US" w:eastAsia="zh-CN"/>
        </w:rPr>
        <w:t>天然气供应量，年均产值300亿元以上，年均利税20亿元以上</w:t>
      </w:r>
      <w:r>
        <w:rPr>
          <w:rFonts w:hint="eastAsia" w:ascii="Times New Roman" w:hAnsi="Times New Roman" w:cs="Times New Roman"/>
          <w:color w:val="auto"/>
          <w:sz w:val="28"/>
          <w:highlight w:val="none"/>
          <w:lang w:val="en-US" w:eastAsia="zh-CN"/>
        </w:rPr>
        <w:t>，</w:t>
      </w:r>
      <w:r>
        <w:rPr>
          <w:rFonts w:hint="default" w:ascii="Times New Roman" w:hAnsi="Times New Roman" w:cs="Times New Roman"/>
          <w:color w:val="auto"/>
          <w:sz w:val="28"/>
          <w:highlight w:val="none"/>
          <w:lang w:val="en-US" w:eastAsia="zh-CN"/>
        </w:rPr>
        <w:t>减排二氧化碳1151万吨、二氧化硫8.9万吨、二氧化氮7.8万吨。</w:t>
      </w:r>
    </w:p>
    <w:bookmarkEnd w:id="40"/>
    <w:bookmarkEnd w:id="41"/>
    <w:p>
      <w:pPr>
        <w:ind w:firstLine="562" w:firstLineChars="200"/>
        <w:rPr>
          <w:rFonts w:ascii="Times New Roman" w:hAnsi="Times New Roman" w:cs="Times New Roman"/>
          <w:b/>
          <w:color w:val="auto"/>
          <w:sz w:val="28"/>
          <w:szCs w:val="28"/>
          <w:highlight w:val="none"/>
          <w:lang w:bidi="th-TH"/>
        </w:rPr>
      </w:pPr>
      <w:r>
        <w:rPr>
          <w:rFonts w:hint="eastAsia" w:ascii="Times New Roman" w:hAnsi="Times New Roman" w:cs="Times New Roman"/>
          <w:b/>
          <w:color w:val="auto"/>
          <w:sz w:val="28"/>
          <w:szCs w:val="28"/>
          <w:highlight w:val="none"/>
          <w:lang w:val="en-US" w:eastAsia="zh-CN" w:bidi="th-TH"/>
        </w:rPr>
        <w:t>4</w:t>
      </w:r>
      <w:r>
        <w:rPr>
          <w:rFonts w:ascii="Times New Roman" w:hAnsi="Times New Roman" w:cs="Times New Roman"/>
          <w:b/>
          <w:color w:val="auto"/>
          <w:sz w:val="28"/>
          <w:szCs w:val="28"/>
          <w:highlight w:val="none"/>
          <w:lang w:bidi="th-TH"/>
        </w:rPr>
        <w:t>、压缩天然气（CNG）</w:t>
      </w:r>
    </w:p>
    <w:p>
      <w:pPr>
        <w:pStyle w:val="7"/>
        <w:spacing w:line="360" w:lineRule="auto"/>
        <w:ind w:firstLine="560"/>
        <w:rPr>
          <w:rFonts w:hint="eastAsia"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rPr>
        <w:t>CNG具有投资少、成本低、工期短、见效快的优点，适于向距气源较近的中小城镇供应燃气气源，可作为城镇燃气主气源或做补充气源，调峰气源。</w:t>
      </w:r>
    </w:p>
    <w:p>
      <w:pPr>
        <w:pStyle w:val="3"/>
        <w:rPr>
          <w:rFonts w:hint="eastAsia" w:eastAsia="宋体"/>
          <w:color w:val="auto"/>
          <w:highlight w:val="none"/>
          <w:lang w:val="en-US" w:eastAsia="zh-CN"/>
        </w:rPr>
      </w:pPr>
      <w:bookmarkStart w:id="42" w:name="_Toc7712"/>
      <w:r>
        <w:rPr>
          <w:rFonts w:hint="eastAsia"/>
          <w:color w:val="auto"/>
          <w:highlight w:val="none"/>
        </w:rPr>
        <w:t>第十</w:t>
      </w:r>
      <w:r>
        <w:rPr>
          <w:rFonts w:hint="eastAsia"/>
          <w:color w:val="auto"/>
          <w:highlight w:val="none"/>
          <w:lang w:val="en-US" w:eastAsia="zh-CN"/>
        </w:rPr>
        <w:t>一</w:t>
      </w:r>
      <w:r>
        <w:rPr>
          <w:rFonts w:hint="eastAsia"/>
          <w:color w:val="auto"/>
          <w:highlight w:val="none"/>
        </w:rPr>
        <w:t>条：气源</w:t>
      </w:r>
      <w:r>
        <w:rPr>
          <w:rFonts w:hint="eastAsia"/>
          <w:color w:val="auto"/>
          <w:highlight w:val="none"/>
          <w:lang w:val="en-US" w:eastAsia="zh-CN"/>
        </w:rPr>
        <w:t>规划</w:t>
      </w:r>
      <w:bookmarkEnd w:id="4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color w:val="auto"/>
          <w:sz w:val="28"/>
          <w:szCs w:val="28"/>
          <w:highlight w:val="none"/>
          <w:lang w:val="en-US" w:eastAsia="zh-CN" w:bidi="th-TH"/>
        </w:rPr>
      </w:pPr>
      <w:r>
        <w:rPr>
          <w:rFonts w:ascii="Times New Roman" w:hAnsi="Times New Roman" w:eastAsia="宋体" w:cs="Times New Roman"/>
          <w:color w:val="auto"/>
          <w:sz w:val="28"/>
          <w:szCs w:val="28"/>
          <w:highlight w:val="none"/>
        </w:rPr>
        <w:t>根据东北地区及</w:t>
      </w:r>
      <w:r>
        <w:rPr>
          <w:rFonts w:hint="eastAsia" w:ascii="Times New Roman" w:hAnsi="Times New Roman" w:eastAsia="宋体" w:cs="Times New Roman"/>
          <w:color w:val="auto"/>
          <w:sz w:val="28"/>
          <w:szCs w:val="28"/>
          <w:highlight w:val="none"/>
          <w:lang w:eastAsia="zh-CN"/>
        </w:rPr>
        <w:t>抚顺高新技术产业开发区</w:t>
      </w:r>
      <w:r>
        <w:rPr>
          <w:rFonts w:ascii="Times New Roman" w:hAnsi="Times New Roman" w:eastAsia="宋体" w:cs="Times New Roman"/>
          <w:color w:val="auto"/>
          <w:sz w:val="28"/>
          <w:szCs w:val="28"/>
          <w:highlight w:val="none"/>
        </w:rPr>
        <w:t>气源规划及现状情况，本</w:t>
      </w:r>
      <w:r>
        <w:rPr>
          <w:rFonts w:hint="eastAsia" w:ascii="Times New Roman" w:hAnsi="Times New Roman" w:eastAsia="宋体" w:cs="Times New Roman"/>
          <w:color w:val="auto"/>
          <w:sz w:val="28"/>
          <w:szCs w:val="28"/>
          <w:highlight w:val="none"/>
        </w:rPr>
        <w:t>规划</w:t>
      </w:r>
      <w:r>
        <w:rPr>
          <w:rFonts w:ascii="Times New Roman" w:hAnsi="Times New Roman" w:eastAsia="宋体" w:cs="Times New Roman"/>
          <w:color w:val="auto"/>
          <w:sz w:val="28"/>
          <w:szCs w:val="28"/>
          <w:highlight w:val="none"/>
        </w:rPr>
        <w:t>气源利用情况如</w:t>
      </w:r>
      <w:r>
        <w:rPr>
          <w:rFonts w:hint="eastAsia" w:ascii="Times New Roman" w:hAnsi="Times New Roman" w:eastAsia="宋体" w:cs="Times New Roman"/>
          <w:color w:val="auto"/>
          <w:sz w:val="28"/>
          <w:szCs w:val="28"/>
          <w:highlight w:val="none"/>
          <w:lang w:val="en-US" w:eastAsia="zh-CN"/>
        </w:rPr>
        <w:t>下表。</w:t>
      </w:r>
      <w:r>
        <w:rPr>
          <w:rFonts w:hint="eastAsia" w:ascii="Times New Roman" w:hAnsi="Times New Roman" w:eastAsia="宋体" w:cs="Times New Roman"/>
          <w:color w:val="0000FF"/>
          <w:sz w:val="28"/>
          <w:szCs w:val="28"/>
          <w:highlight w:val="none"/>
          <w:lang w:eastAsia="zh-CN"/>
        </w:rPr>
        <w:t>抚顺高新技术产业开发区</w:t>
      </w:r>
      <w:r>
        <w:rPr>
          <w:rFonts w:hint="eastAsia" w:ascii="Times New Roman" w:hAnsi="Times New Roman" w:eastAsia="宋体" w:cs="Times New Roman"/>
          <w:color w:val="0000FF"/>
          <w:sz w:val="28"/>
          <w:szCs w:val="28"/>
          <w:highlight w:val="none"/>
          <w:lang w:val="en-US" w:eastAsia="zh-CN"/>
        </w:rPr>
        <w:t>以中俄东线管道</w:t>
      </w:r>
      <w:r>
        <w:rPr>
          <w:rFonts w:hint="eastAsia" w:ascii="Times New Roman" w:hAnsi="Times New Roman" w:eastAsia="宋体" w:cs="Times New Roman"/>
          <w:color w:val="0000FF"/>
          <w:sz w:val="28"/>
          <w:szCs w:val="28"/>
          <w:highlight w:val="none"/>
        </w:rPr>
        <w:t>天然气</w:t>
      </w:r>
      <w:r>
        <w:rPr>
          <w:rFonts w:hint="eastAsia" w:ascii="Times New Roman" w:hAnsi="Times New Roman" w:eastAsia="宋体" w:cs="Times New Roman"/>
          <w:color w:val="0000FF"/>
          <w:sz w:val="28"/>
          <w:szCs w:val="28"/>
          <w:highlight w:val="none"/>
          <w:lang w:val="en-US" w:eastAsia="zh-CN"/>
        </w:rPr>
        <w:t>为主，压缩天然气（CNG）和液化天然气（LNG）作为备用气源，盘锦储气库作为应急气源。</w:t>
      </w:r>
    </w:p>
    <w:p>
      <w:pPr>
        <w:spacing w:line="360" w:lineRule="auto"/>
        <w:jc w:val="center"/>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表</w:t>
      </w:r>
      <w:r>
        <w:rPr>
          <w:rFonts w:hint="eastAsia" w:ascii="Times New Roman" w:hAnsi="Times New Roman" w:eastAsia="宋体" w:cs="Times New Roman"/>
          <w:b/>
          <w:bCs/>
          <w:color w:val="auto"/>
          <w:sz w:val="24"/>
          <w:highlight w:val="none"/>
          <w:lang w:val="en-US" w:eastAsia="zh-CN"/>
        </w:rPr>
        <w:t>3-3</w:t>
      </w:r>
      <w:r>
        <w:rPr>
          <w:rFonts w:hint="eastAsia" w:ascii="Times New Roman" w:hAnsi="Times New Roman" w:eastAsia="宋体" w:cs="Times New Roman"/>
          <w:b/>
          <w:bCs/>
          <w:color w:val="auto"/>
          <w:sz w:val="24"/>
          <w:highlight w:val="none"/>
        </w:rPr>
        <w:t xml:space="preserve">  气源规划表</w:t>
      </w:r>
    </w:p>
    <w:tbl>
      <w:tblPr>
        <w:tblStyle w:val="28"/>
        <w:tblW w:w="4999" w:type="pct"/>
        <w:tblInd w:w="0" w:type="dxa"/>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93"/>
        <w:gridCol w:w="5874"/>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94" w:type="pct"/>
            <w:tcBorders>
              <w:tl2br w:val="nil"/>
              <w:tr2bl w:val="nil"/>
            </w:tcBorders>
            <w:shd w:val="clear" w:color="auto" w:fill="auto"/>
            <w:vAlign w:val="top"/>
          </w:tcPr>
          <w:p>
            <w:pPr>
              <w:pStyle w:val="7"/>
              <w:keepNext w:val="0"/>
              <w:keepLines w:val="0"/>
              <w:suppressLineNumbers w:val="0"/>
              <w:spacing w:before="0" w:beforeAutospacing="0" w:after="0" w:afterAutospacing="0" w:line="360" w:lineRule="auto"/>
              <w:ind w:left="0" w:right="0" w:firstLine="0" w:firstLineChars="0"/>
              <w:jc w:val="center"/>
              <w:rPr>
                <w:rFonts w:hint="eastAsia" w:ascii="宋体" w:hAnsi="宋体" w:eastAsiaTheme="minorEastAsia"/>
                <w:color w:val="auto"/>
                <w:szCs w:val="24"/>
                <w:highlight w:val="none"/>
                <w:lang w:val="en-US" w:eastAsia="zh-CN"/>
              </w:rPr>
            </w:pPr>
            <w:r>
              <w:rPr>
                <w:rFonts w:hint="eastAsia" w:ascii="宋体" w:hAnsi="宋体"/>
                <w:color w:val="auto"/>
                <w:szCs w:val="24"/>
                <w:highlight w:val="none"/>
                <w:lang w:val="en-US" w:eastAsia="zh-CN"/>
              </w:rPr>
              <w:t>地区</w:t>
            </w:r>
          </w:p>
        </w:tc>
        <w:tc>
          <w:tcPr>
            <w:tcW w:w="5873" w:type="dxa"/>
            <w:tcBorders>
              <w:tl2br w:val="nil"/>
              <w:tr2bl w:val="nil"/>
            </w:tcBorders>
            <w:shd w:val="clear" w:color="auto" w:fill="auto"/>
            <w:vAlign w:val="top"/>
          </w:tcPr>
          <w:p>
            <w:pPr>
              <w:pStyle w:val="7"/>
              <w:keepNext w:val="0"/>
              <w:keepLines w:val="0"/>
              <w:suppressLineNumbers w:val="0"/>
              <w:spacing w:before="0" w:beforeAutospacing="0" w:after="0" w:afterAutospacing="0" w:line="360" w:lineRule="auto"/>
              <w:ind w:left="0" w:right="0" w:firstLine="0" w:firstLineChars="0"/>
              <w:jc w:val="center"/>
              <w:rPr>
                <w:rFonts w:hint="default" w:ascii="宋体" w:hAnsi="宋体"/>
                <w:b/>
                <w:bCs/>
                <w:color w:val="auto"/>
                <w:szCs w:val="24"/>
                <w:highlight w:val="none"/>
              </w:rPr>
            </w:pPr>
            <w:r>
              <w:rPr>
                <w:rFonts w:hint="default" w:ascii="Times New Roman" w:hAnsi="Times New Roman" w:eastAsia="宋体" w:cs="Times New Roman"/>
                <w:color w:val="0000FF"/>
                <w:szCs w:val="24"/>
                <w:highlight w:val="none"/>
              </w:rPr>
              <w:t>202</w:t>
            </w:r>
            <w:r>
              <w:rPr>
                <w:rFonts w:hint="eastAsia" w:ascii="Times New Roman" w:hAnsi="Times New Roman" w:eastAsia="宋体" w:cs="Times New Roman"/>
                <w:color w:val="0000FF"/>
                <w:szCs w:val="24"/>
                <w:highlight w:val="none"/>
                <w:lang w:val="en-US" w:eastAsia="zh-CN"/>
              </w:rPr>
              <w:t>3</w:t>
            </w:r>
            <w:r>
              <w:rPr>
                <w:rFonts w:hint="default" w:ascii="Times New Roman" w:hAnsi="Times New Roman" w:eastAsia="宋体" w:cs="Times New Roman"/>
                <w:color w:val="0000FF"/>
                <w:szCs w:val="24"/>
                <w:highlight w:val="none"/>
              </w:rPr>
              <w:t>-20</w:t>
            </w:r>
            <w:r>
              <w:rPr>
                <w:rFonts w:hint="eastAsia" w:ascii="Times New Roman" w:hAnsi="Times New Roman" w:eastAsia="宋体" w:cs="Times New Roman"/>
                <w:color w:val="0000FF"/>
                <w:szCs w:val="24"/>
                <w:highlight w:val="none"/>
                <w:lang w:val="en-US" w:eastAsia="zh-CN"/>
              </w:rPr>
              <w:t>35</w:t>
            </w:r>
            <w:r>
              <w:rPr>
                <w:rFonts w:hint="default" w:ascii="Times New Roman" w:hAnsi="Times New Roman" w:eastAsia="宋体" w:cs="Times New Roman"/>
                <w:color w:val="0000FF"/>
                <w:szCs w:val="24"/>
                <w:highlight w:val="none"/>
              </w:rPr>
              <w:t>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94" w:type="pct"/>
            <w:tcBorders>
              <w:tl2br w:val="nil"/>
              <w:tr2bl w:val="nil"/>
            </w:tcBorders>
            <w:shd w:val="clear" w:color="auto" w:fill="auto"/>
            <w:vAlign w:val="center"/>
          </w:tcPr>
          <w:p>
            <w:pPr>
              <w:pStyle w:val="7"/>
              <w:keepNext w:val="0"/>
              <w:keepLines w:val="0"/>
              <w:suppressLineNumbers w:val="0"/>
              <w:spacing w:before="0" w:beforeAutospacing="0" w:after="0" w:afterAutospacing="0" w:line="360" w:lineRule="auto"/>
              <w:ind w:left="0" w:right="0" w:firstLine="0" w:firstLineChars="0"/>
              <w:jc w:val="center"/>
              <w:rPr>
                <w:rFonts w:hint="eastAsia" w:ascii="宋体" w:hAnsi="宋体" w:eastAsiaTheme="minorEastAsia"/>
                <w:b/>
                <w:bCs/>
                <w:color w:val="auto"/>
                <w:szCs w:val="24"/>
                <w:highlight w:val="none"/>
                <w:lang w:eastAsia="zh-CN"/>
              </w:rPr>
            </w:pPr>
            <w:r>
              <w:rPr>
                <w:rFonts w:hint="eastAsia" w:cs="仿宋"/>
                <w:color w:val="auto"/>
                <w:sz w:val="24"/>
                <w:highlight w:val="none"/>
                <w:lang w:eastAsia="zh-CN"/>
              </w:rPr>
              <w:t>抚顺高新技术产业开发区</w:t>
            </w:r>
          </w:p>
        </w:tc>
        <w:tc>
          <w:tcPr>
            <w:tcW w:w="5873" w:type="dxa"/>
            <w:tcBorders>
              <w:tl2br w:val="nil"/>
              <w:tr2bl w:val="nil"/>
            </w:tcBorders>
            <w:shd w:val="clear" w:color="auto" w:fill="auto"/>
            <w:vAlign w:val="center"/>
          </w:tcPr>
          <w:p>
            <w:pPr>
              <w:pStyle w:val="7"/>
              <w:keepNext w:val="0"/>
              <w:keepLines w:val="0"/>
              <w:suppressLineNumbers w:val="0"/>
              <w:spacing w:before="0" w:beforeAutospacing="0" w:after="0" w:afterAutospacing="0" w:line="360" w:lineRule="auto"/>
              <w:ind w:left="0" w:right="0" w:firstLine="0" w:firstLineChars="0"/>
              <w:jc w:val="center"/>
              <w:rPr>
                <w:rFonts w:hint="default" w:ascii="宋体" w:hAnsi="宋体" w:eastAsiaTheme="minorEastAsia"/>
                <w:b/>
                <w:bCs/>
                <w:color w:val="auto"/>
                <w:szCs w:val="24"/>
                <w:highlight w:val="none"/>
                <w:lang w:val="en-US" w:eastAsia="zh-CN"/>
              </w:rPr>
            </w:pPr>
            <w:r>
              <w:rPr>
                <w:rFonts w:hint="eastAsia" w:ascii="Times New Roman" w:hAnsi="Times New Roman" w:cs="Times New Roman"/>
                <w:color w:val="0000FF"/>
                <w:szCs w:val="24"/>
                <w:highlight w:val="none"/>
                <w:lang w:val="en-US" w:eastAsia="zh-CN"/>
              </w:rPr>
              <w:t>中俄东线</w:t>
            </w:r>
            <w:r>
              <w:rPr>
                <w:rFonts w:hint="default" w:ascii="Times New Roman" w:hAnsi="Times New Roman" w:cs="Times New Roman"/>
                <w:color w:val="0000FF"/>
                <w:szCs w:val="24"/>
                <w:highlight w:val="none"/>
              </w:rPr>
              <w:t>管道天然气</w:t>
            </w:r>
            <w:r>
              <w:rPr>
                <w:rFonts w:hint="default" w:ascii="Times New Roman" w:hAnsi="Times New Roman" w:cs="Times New Roman"/>
                <w:color w:val="0000FF"/>
                <w:szCs w:val="24"/>
                <w:highlight w:val="none"/>
                <w:lang w:eastAsia="zh-CN"/>
              </w:rPr>
              <w:t>、</w:t>
            </w:r>
            <w:r>
              <w:rPr>
                <w:rFonts w:hint="eastAsia" w:ascii="Times New Roman" w:hAnsi="Times New Roman" w:cs="Times New Roman"/>
                <w:color w:val="0000FF"/>
                <w:szCs w:val="24"/>
                <w:highlight w:val="none"/>
                <w:lang w:val="en-US" w:eastAsia="zh-CN"/>
              </w:rPr>
              <w:t>压缩天然气（</w:t>
            </w:r>
            <w:r>
              <w:rPr>
                <w:rFonts w:hint="default" w:ascii="Times New Roman" w:hAnsi="Times New Roman" w:cs="Times New Roman"/>
                <w:color w:val="0000FF"/>
                <w:szCs w:val="24"/>
                <w:highlight w:val="none"/>
                <w:lang w:val="en-US" w:eastAsia="zh-CN"/>
              </w:rPr>
              <w:t>CNG</w:t>
            </w:r>
            <w:r>
              <w:rPr>
                <w:rFonts w:hint="eastAsia" w:ascii="Times New Roman" w:hAnsi="Times New Roman" w:cs="Times New Roman"/>
                <w:color w:val="0000FF"/>
                <w:szCs w:val="24"/>
                <w:highlight w:val="none"/>
                <w:lang w:val="en-US" w:eastAsia="zh-CN"/>
              </w:rPr>
              <w:t>）、液化天然气（LNG）、盘锦储气库</w:t>
            </w:r>
          </w:p>
        </w:tc>
      </w:tr>
    </w:tbl>
    <w:p>
      <w:pPr>
        <w:rPr>
          <w:rFonts w:hint="default" w:ascii="Times New Roman" w:hAnsi="Times New Roman" w:cs="Times New Roman"/>
          <w:color w:val="auto"/>
          <w:sz w:val="28"/>
          <w:szCs w:val="28"/>
          <w:highlight w:val="none"/>
          <w:lang w:val="en-US" w:eastAsia="zh-CN" w:bidi="th-TH"/>
        </w:rPr>
      </w:pPr>
    </w:p>
    <w:p>
      <w:pPr>
        <w:pStyle w:val="2"/>
        <w:bidi w:val="0"/>
        <w:rPr>
          <w:color w:val="auto"/>
          <w:highlight w:val="none"/>
        </w:rPr>
      </w:pPr>
      <w:bookmarkStart w:id="43" w:name="_Toc14047"/>
      <w:r>
        <w:rPr>
          <w:rFonts w:hint="eastAsia"/>
          <w:color w:val="auto"/>
          <w:highlight w:val="none"/>
        </w:rPr>
        <w:t xml:space="preserve">第四章 </w:t>
      </w:r>
      <w:r>
        <w:rPr>
          <w:color w:val="auto"/>
          <w:highlight w:val="none"/>
        </w:rPr>
        <w:t xml:space="preserve"> </w:t>
      </w:r>
      <w:r>
        <w:rPr>
          <w:rFonts w:hint="eastAsia"/>
          <w:color w:val="auto"/>
          <w:highlight w:val="none"/>
        </w:rPr>
        <w:t>燃气输配系统规划</w:t>
      </w:r>
      <w:bookmarkEnd w:id="43"/>
    </w:p>
    <w:p>
      <w:pPr>
        <w:pStyle w:val="3"/>
        <w:pageBreakBefore w:val="0"/>
        <w:widowControl w:val="0"/>
        <w:kinsoku/>
        <w:wordWrap/>
        <w:overflowPunct/>
        <w:topLinePunct w:val="0"/>
        <w:autoSpaceDE/>
        <w:autoSpaceDN/>
        <w:bidi w:val="0"/>
        <w:adjustRightInd/>
        <w:snapToGrid/>
        <w:spacing w:line="360" w:lineRule="auto"/>
        <w:textAlignment w:val="auto"/>
        <w:rPr>
          <w:color w:val="auto"/>
          <w:highlight w:val="none"/>
        </w:rPr>
      </w:pPr>
      <w:bookmarkStart w:id="44" w:name="_Toc2605"/>
      <w:r>
        <w:rPr>
          <w:rFonts w:hint="eastAsia"/>
          <w:color w:val="auto"/>
          <w:highlight w:val="none"/>
        </w:rPr>
        <w:t>第十</w:t>
      </w:r>
      <w:r>
        <w:rPr>
          <w:rFonts w:hint="eastAsia"/>
          <w:color w:val="auto"/>
          <w:highlight w:val="none"/>
          <w:lang w:val="en-US" w:eastAsia="zh-CN"/>
        </w:rPr>
        <w:t>二</w:t>
      </w:r>
      <w:r>
        <w:rPr>
          <w:rFonts w:hint="eastAsia"/>
          <w:color w:val="auto"/>
          <w:highlight w:val="none"/>
        </w:rPr>
        <w:t>条：输配系统总体方案</w:t>
      </w:r>
      <w:bookmarkEnd w:id="44"/>
    </w:p>
    <w:p>
      <w:pPr>
        <w:pStyle w:val="7"/>
        <w:ind w:firstLine="560"/>
        <w:rPr>
          <w:rFonts w:hint="eastAsia" w:ascii="Times New Roman" w:hAnsi="Times New Roman"/>
          <w:color w:val="0000FF"/>
          <w:sz w:val="28"/>
          <w:szCs w:val="28"/>
          <w:highlight w:val="none"/>
          <w:lang w:bidi="th-TH"/>
        </w:rPr>
      </w:pPr>
      <w:r>
        <w:rPr>
          <w:rFonts w:ascii="Times New Roman" w:hAnsi="Times New Roman"/>
          <w:color w:val="0000FF"/>
          <w:sz w:val="28"/>
          <w:szCs w:val="28"/>
          <w:highlight w:val="none"/>
          <w:lang w:bidi="th-TH"/>
        </w:rPr>
        <w:t>至</w:t>
      </w:r>
      <w:r>
        <w:rPr>
          <w:rFonts w:hint="eastAsia" w:ascii="Times New Roman" w:hAnsi="Times New Roman"/>
          <w:color w:val="0000FF"/>
          <w:sz w:val="28"/>
          <w:szCs w:val="28"/>
          <w:highlight w:val="none"/>
          <w:lang w:val="en-US" w:eastAsia="zh-CN" w:bidi="th-TH"/>
        </w:rPr>
        <w:t>近期规划</w:t>
      </w:r>
      <w:r>
        <w:rPr>
          <w:rFonts w:hint="eastAsia" w:ascii="Times New Roman" w:hAnsi="Times New Roman"/>
          <w:color w:val="0000FF"/>
          <w:sz w:val="28"/>
          <w:szCs w:val="28"/>
          <w:highlight w:val="none"/>
          <w:lang w:bidi="th-TH"/>
        </w:rPr>
        <w:t>期末</w:t>
      </w:r>
      <w:r>
        <w:rPr>
          <w:rFonts w:ascii="Times New Roman" w:hAnsi="Times New Roman"/>
          <w:color w:val="0000FF"/>
          <w:sz w:val="28"/>
          <w:szCs w:val="28"/>
          <w:highlight w:val="none"/>
          <w:lang w:bidi="th-TH"/>
        </w:rPr>
        <w:t>（20</w:t>
      </w:r>
      <w:r>
        <w:rPr>
          <w:rFonts w:hint="eastAsia" w:ascii="Times New Roman" w:hAnsi="Times New Roman"/>
          <w:color w:val="0000FF"/>
          <w:sz w:val="28"/>
          <w:szCs w:val="28"/>
          <w:highlight w:val="none"/>
          <w:lang w:bidi="th-TH"/>
        </w:rPr>
        <w:t>2</w:t>
      </w:r>
      <w:r>
        <w:rPr>
          <w:rFonts w:ascii="Times New Roman" w:hAnsi="Times New Roman"/>
          <w:color w:val="0000FF"/>
          <w:sz w:val="28"/>
          <w:szCs w:val="28"/>
          <w:highlight w:val="none"/>
          <w:lang w:bidi="th-TH"/>
        </w:rPr>
        <w:t>5年）</w:t>
      </w:r>
      <w:r>
        <w:rPr>
          <w:rFonts w:hint="eastAsia" w:ascii="Times New Roman" w:hAnsi="Times New Roman"/>
          <w:color w:val="0000FF"/>
          <w:sz w:val="28"/>
          <w:szCs w:val="28"/>
          <w:highlight w:val="none"/>
          <w:lang w:bidi="th-TH"/>
        </w:rPr>
        <w:t>，</w:t>
      </w:r>
      <w:r>
        <w:rPr>
          <w:rFonts w:ascii="Times New Roman" w:hAnsi="Times New Roman"/>
          <w:color w:val="0000FF"/>
          <w:sz w:val="28"/>
          <w:szCs w:val="28"/>
          <w:highlight w:val="none"/>
          <w:lang w:bidi="th-TH"/>
        </w:rPr>
        <w:t>天然气供气规模为</w:t>
      </w:r>
      <w:r>
        <w:rPr>
          <w:rFonts w:hint="eastAsia" w:ascii="Times New Roman" w:hAnsi="Times New Roman"/>
          <w:b/>
          <w:bCs/>
          <w:color w:val="0000FF"/>
          <w:sz w:val="28"/>
          <w:szCs w:val="28"/>
          <w:highlight w:val="none"/>
          <w:lang w:val="en-US" w:eastAsia="zh-CN" w:bidi="th-TH"/>
        </w:rPr>
        <w:t>0.93</w:t>
      </w:r>
      <w:r>
        <w:rPr>
          <w:rFonts w:ascii="Times New Roman" w:hAnsi="Times New Roman"/>
          <w:b/>
          <w:bCs/>
          <w:color w:val="0000FF"/>
          <w:sz w:val="28"/>
          <w:szCs w:val="28"/>
          <w:highlight w:val="none"/>
          <w:lang w:bidi="th-TH"/>
        </w:rPr>
        <w:t>×</w:t>
      </w:r>
      <w:r>
        <w:rPr>
          <w:rFonts w:ascii="Times New Roman" w:hAnsi="Times New Roman"/>
          <w:b/>
          <w:color w:val="0000FF"/>
          <w:sz w:val="28"/>
          <w:szCs w:val="28"/>
          <w:highlight w:val="none"/>
          <w:lang w:bidi="th-TH"/>
        </w:rPr>
        <w:t>10</w:t>
      </w:r>
      <w:r>
        <w:rPr>
          <w:rFonts w:ascii="Times New Roman" w:hAnsi="Times New Roman"/>
          <w:b/>
          <w:color w:val="0000FF"/>
          <w:sz w:val="28"/>
          <w:szCs w:val="28"/>
          <w:highlight w:val="none"/>
          <w:vertAlign w:val="superscript"/>
          <w:lang w:bidi="th-TH"/>
        </w:rPr>
        <w:t>8</w:t>
      </w:r>
      <w:r>
        <w:rPr>
          <w:rFonts w:ascii="Times New Roman" w:hAnsi="Times New Roman"/>
          <w:b/>
          <w:color w:val="0000FF"/>
          <w:sz w:val="28"/>
          <w:szCs w:val="28"/>
          <w:highlight w:val="none"/>
          <w:lang w:bidi="th-TH"/>
        </w:rPr>
        <w:t>Nm</w:t>
      </w:r>
      <w:r>
        <w:rPr>
          <w:rFonts w:ascii="Times New Roman" w:hAnsi="Times New Roman"/>
          <w:b/>
          <w:color w:val="0000FF"/>
          <w:sz w:val="28"/>
          <w:szCs w:val="28"/>
          <w:highlight w:val="none"/>
          <w:vertAlign w:val="superscript"/>
          <w:lang w:bidi="th-TH"/>
        </w:rPr>
        <w:t>3</w:t>
      </w:r>
      <w:r>
        <w:rPr>
          <w:rFonts w:ascii="Times New Roman" w:hAnsi="Times New Roman"/>
          <w:b/>
          <w:color w:val="0000FF"/>
          <w:sz w:val="28"/>
          <w:szCs w:val="28"/>
          <w:highlight w:val="none"/>
          <w:lang w:bidi="th-TH"/>
        </w:rPr>
        <w:t>/a</w:t>
      </w:r>
      <w:r>
        <w:rPr>
          <w:rFonts w:hint="eastAsia" w:ascii="Times New Roman" w:hAnsi="Times New Roman"/>
          <w:color w:val="0000FF"/>
          <w:sz w:val="28"/>
          <w:szCs w:val="28"/>
          <w:highlight w:val="none"/>
          <w:lang w:bidi="th-TH"/>
        </w:rPr>
        <w:t>；</w:t>
      </w:r>
      <w:r>
        <w:rPr>
          <w:rFonts w:ascii="Times New Roman" w:hAnsi="Times New Roman"/>
          <w:color w:val="0000FF"/>
          <w:sz w:val="28"/>
          <w:szCs w:val="28"/>
          <w:highlight w:val="none"/>
          <w:lang w:bidi="th-TH"/>
        </w:rPr>
        <w:t>新建</w:t>
      </w:r>
      <w:r>
        <w:rPr>
          <w:rFonts w:hint="eastAsia" w:ascii="Times New Roman" w:hAnsi="Times New Roman"/>
          <w:color w:val="0000FF"/>
          <w:sz w:val="28"/>
          <w:szCs w:val="28"/>
          <w:highlight w:val="none"/>
          <w:lang w:val="en-US" w:eastAsia="zh-CN" w:bidi="th-TH"/>
        </w:rPr>
        <w:t>次</w:t>
      </w:r>
      <w:r>
        <w:rPr>
          <w:rFonts w:ascii="Times New Roman" w:hAnsi="Times New Roman"/>
          <w:color w:val="0000FF"/>
          <w:sz w:val="28"/>
          <w:szCs w:val="28"/>
          <w:highlight w:val="none"/>
          <w:lang w:bidi="th-TH"/>
        </w:rPr>
        <w:t>高压管道</w:t>
      </w:r>
      <w:r>
        <w:rPr>
          <w:rFonts w:hint="eastAsia" w:ascii="Times New Roman" w:hAnsi="Times New Roman"/>
          <w:b/>
          <w:bCs/>
          <w:color w:val="0000FF"/>
          <w:sz w:val="28"/>
          <w:szCs w:val="28"/>
          <w:highlight w:val="none"/>
          <w:lang w:val="en-US" w:eastAsia="zh-CN" w:bidi="th-TH"/>
        </w:rPr>
        <w:t>18.05</w:t>
      </w:r>
      <w:r>
        <w:rPr>
          <w:rFonts w:ascii="Times New Roman" w:hAnsi="Times New Roman"/>
          <w:b/>
          <w:bCs/>
          <w:color w:val="0000FF"/>
          <w:sz w:val="28"/>
          <w:szCs w:val="28"/>
          <w:highlight w:val="none"/>
          <w:lang w:bidi="th-TH"/>
        </w:rPr>
        <w:t>km</w:t>
      </w:r>
      <w:r>
        <w:rPr>
          <w:rFonts w:hint="eastAsia" w:ascii="Times New Roman" w:hAnsi="Times New Roman"/>
          <w:color w:val="0000FF"/>
          <w:sz w:val="28"/>
          <w:szCs w:val="28"/>
          <w:highlight w:val="none"/>
          <w:lang w:val="en-US" w:eastAsia="zh-CN" w:bidi="th-TH"/>
        </w:rPr>
        <w:t>；新建CNG减压站和次高压调压站合建站</w:t>
      </w:r>
      <w:r>
        <w:rPr>
          <w:rFonts w:hint="eastAsia" w:ascii="Times New Roman" w:hAnsi="Times New Roman"/>
          <w:b/>
          <w:bCs/>
          <w:color w:val="0000FF"/>
          <w:sz w:val="28"/>
          <w:szCs w:val="28"/>
          <w:highlight w:val="none"/>
          <w:lang w:val="en-US" w:eastAsia="zh-CN" w:bidi="th-TH"/>
        </w:rPr>
        <w:t>1座</w:t>
      </w:r>
      <w:r>
        <w:rPr>
          <w:rFonts w:hint="eastAsia" w:ascii="Times New Roman" w:hAnsi="Times New Roman"/>
          <w:color w:val="0000FF"/>
          <w:sz w:val="28"/>
          <w:szCs w:val="28"/>
          <w:highlight w:val="none"/>
          <w:lang w:val="en-US" w:eastAsia="zh-CN" w:bidi="th-TH"/>
        </w:rPr>
        <w:t>；新建中压输配管网</w:t>
      </w:r>
      <w:r>
        <w:rPr>
          <w:rFonts w:hint="eastAsia" w:ascii="Times New Roman" w:hAnsi="Times New Roman"/>
          <w:b/>
          <w:bCs/>
          <w:color w:val="0000FF"/>
          <w:sz w:val="28"/>
          <w:szCs w:val="28"/>
          <w:highlight w:val="none"/>
          <w:lang w:val="en-US" w:eastAsia="zh-CN" w:bidi="th-TH"/>
        </w:rPr>
        <w:t>1.30km</w:t>
      </w:r>
      <w:r>
        <w:rPr>
          <w:rFonts w:hint="eastAsia" w:ascii="Times New Roman" w:hAnsi="Times New Roman"/>
          <w:color w:val="0000FF"/>
          <w:sz w:val="28"/>
          <w:szCs w:val="28"/>
          <w:highlight w:val="none"/>
          <w:lang w:bidi="th-TH"/>
        </w:rPr>
        <w:t>。</w:t>
      </w:r>
    </w:p>
    <w:p>
      <w:pPr>
        <w:pStyle w:val="7"/>
        <w:ind w:firstLine="560"/>
        <w:rPr>
          <w:rFonts w:hint="eastAsia" w:ascii="Times New Roman" w:hAnsi="Times New Roman"/>
          <w:b w:val="0"/>
          <w:bCs w:val="0"/>
          <w:color w:val="0000FF"/>
          <w:sz w:val="28"/>
          <w:szCs w:val="28"/>
          <w:highlight w:val="none"/>
          <w:lang w:val="en-US" w:eastAsia="zh-CN" w:bidi="th-TH"/>
        </w:rPr>
      </w:pPr>
      <w:r>
        <w:rPr>
          <w:rFonts w:ascii="Times New Roman" w:hAnsi="Times New Roman"/>
          <w:color w:val="0000FF"/>
          <w:sz w:val="28"/>
          <w:szCs w:val="28"/>
          <w:highlight w:val="none"/>
          <w:lang w:bidi="th-TH"/>
        </w:rPr>
        <w:t>至</w:t>
      </w:r>
      <w:r>
        <w:rPr>
          <w:rFonts w:hint="eastAsia" w:ascii="Times New Roman" w:hAnsi="Times New Roman"/>
          <w:color w:val="0000FF"/>
          <w:sz w:val="28"/>
          <w:szCs w:val="28"/>
          <w:highlight w:val="none"/>
          <w:lang w:val="en-US" w:eastAsia="zh-CN" w:bidi="th-TH"/>
        </w:rPr>
        <w:t>中期规划</w:t>
      </w:r>
      <w:r>
        <w:rPr>
          <w:rFonts w:hint="eastAsia" w:ascii="Times New Roman" w:hAnsi="Times New Roman"/>
          <w:color w:val="0000FF"/>
          <w:sz w:val="28"/>
          <w:szCs w:val="28"/>
          <w:highlight w:val="none"/>
          <w:lang w:bidi="th-TH"/>
        </w:rPr>
        <w:t>期末</w:t>
      </w:r>
      <w:r>
        <w:rPr>
          <w:rFonts w:ascii="Times New Roman" w:hAnsi="Times New Roman"/>
          <w:color w:val="0000FF"/>
          <w:sz w:val="28"/>
          <w:szCs w:val="28"/>
          <w:highlight w:val="none"/>
          <w:lang w:bidi="th-TH"/>
        </w:rPr>
        <w:t>（20</w:t>
      </w:r>
      <w:r>
        <w:rPr>
          <w:rFonts w:hint="eastAsia" w:ascii="Times New Roman" w:hAnsi="Times New Roman"/>
          <w:color w:val="0000FF"/>
          <w:sz w:val="28"/>
          <w:szCs w:val="28"/>
          <w:highlight w:val="none"/>
          <w:lang w:val="en-US" w:eastAsia="zh-CN" w:bidi="th-TH"/>
        </w:rPr>
        <w:t>30</w:t>
      </w:r>
      <w:r>
        <w:rPr>
          <w:rFonts w:ascii="Times New Roman" w:hAnsi="Times New Roman"/>
          <w:color w:val="0000FF"/>
          <w:sz w:val="28"/>
          <w:szCs w:val="28"/>
          <w:highlight w:val="none"/>
          <w:lang w:bidi="th-TH"/>
        </w:rPr>
        <w:t>年）</w:t>
      </w:r>
      <w:r>
        <w:rPr>
          <w:rFonts w:hint="eastAsia" w:ascii="Times New Roman" w:hAnsi="Times New Roman"/>
          <w:color w:val="0000FF"/>
          <w:sz w:val="28"/>
          <w:szCs w:val="28"/>
          <w:highlight w:val="none"/>
          <w:lang w:bidi="th-TH"/>
        </w:rPr>
        <w:t>，</w:t>
      </w:r>
      <w:r>
        <w:rPr>
          <w:rFonts w:ascii="Times New Roman" w:hAnsi="Times New Roman"/>
          <w:color w:val="0000FF"/>
          <w:sz w:val="28"/>
          <w:szCs w:val="28"/>
          <w:highlight w:val="none"/>
          <w:lang w:bidi="th-TH"/>
        </w:rPr>
        <w:t>天然气供气规模为</w:t>
      </w:r>
      <w:r>
        <w:rPr>
          <w:rFonts w:hint="eastAsia" w:ascii="Times New Roman" w:hAnsi="Times New Roman"/>
          <w:b/>
          <w:bCs/>
          <w:color w:val="0000FF"/>
          <w:sz w:val="28"/>
          <w:szCs w:val="28"/>
          <w:highlight w:val="none"/>
          <w:lang w:val="en-US" w:eastAsia="zh-CN" w:bidi="th-TH"/>
        </w:rPr>
        <w:t>1.40</w:t>
      </w:r>
      <w:r>
        <w:rPr>
          <w:rFonts w:ascii="Times New Roman" w:hAnsi="Times New Roman"/>
          <w:b/>
          <w:bCs/>
          <w:color w:val="0000FF"/>
          <w:sz w:val="28"/>
          <w:szCs w:val="28"/>
          <w:highlight w:val="none"/>
          <w:lang w:bidi="th-TH"/>
        </w:rPr>
        <w:t>×</w:t>
      </w:r>
      <w:r>
        <w:rPr>
          <w:rFonts w:ascii="Times New Roman" w:hAnsi="Times New Roman"/>
          <w:b/>
          <w:color w:val="0000FF"/>
          <w:sz w:val="28"/>
          <w:szCs w:val="28"/>
          <w:highlight w:val="none"/>
          <w:lang w:bidi="th-TH"/>
        </w:rPr>
        <w:t>10</w:t>
      </w:r>
      <w:r>
        <w:rPr>
          <w:rFonts w:ascii="Times New Roman" w:hAnsi="Times New Roman"/>
          <w:b/>
          <w:color w:val="0000FF"/>
          <w:sz w:val="28"/>
          <w:szCs w:val="28"/>
          <w:highlight w:val="none"/>
          <w:vertAlign w:val="superscript"/>
          <w:lang w:bidi="th-TH"/>
        </w:rPr>
        <w:t>8</w:t>
      </w:r>
      <w:r>
        <w:rPr>
          <w:rFonts w:ascii="Times New Roman" w:hAnsi="Times New Roman"/>
          <w:b/>
          <w:color w:val="0000FF"/>
          <w:sz w:val="28"/>
          <w:szCs w:val="28"/>
          <w:highlight w:val="none"/>
          <w:lang w:bidi="th-TH"/>
        </w:rPr>
        <w:t>Nm</w:t>
      </w:r>
      <w:r>
        <w:rPr>
          <w:rFonts w:ascii="Times New Roman" w:hAnsi="Times New Roman"/>
          <w:b/>
          <w:color w:val="0000FF"/>
          <w:sz w:val="28"/>
          <w:szCs w:val="28"/>
          <w:highlight w:val="none"/>
          <w:vertAlign w:val="superscript"/>
          <w:lang w:bidi="th-TH"/>
        </w:rPr>
        <w:t>3</w:t>
      </w:r>
      <w:r>
        <w:rPr>
          <w:rFonts w:ascii="Times New Roman" w:hAnsi="Times New Roman"/>
          <w:b/>
          <w:color w:val="0000FF"/>
          <w:sz w:val="28"/>
          <w:szCs w:val="28"/>
          <w:highlight w:val="none"/>
          <w:lang w:bidi="th-TH"/>
        </w:rPr>
        <w:t>/a</w:t>
      </w:r>
      <w:r>
        <w:rPr>
          <w:rFonts w:hint="eastAsia" w:ascii="Times New Roman" w:hAnsi="Times New Roman"/>
          <w:color w:val="0000FF"/>
          <w:sz w:val="28"/>
          <w:szCs w:val="28"/>
          <w:highlight w:val="none"/>
          <w:lang w:bidi="th-TH"/>
        </w:rPr>
        <w:t>；</w:t>
      </w:r>
      <w:r>
        <w:rPr>
          <w:rFonts w:ascii="Times New Roman" w:hAnsi="Times New Roman"/>
          <w:color w:val="0000FF"/>
          <w:sz w:val="28"/>
          <w:szCs w:val="28"/>
          <w:highlight w:val="none"/>
          <w:lang w:bidi="th-TH"/>
        </w:rPr>
        <w:t>新建</w:t>
      </w:r>
      <w:r>
        <w:rPr>
          <w:rFonts w:hint="eastAsia" w:ascii="Times New Roman" w:hAnsi="Times New Roman"/>
          <w:color w:val="0000FF"/>
          <w:sz w:val="28"/>
          <w:szCs w:val="28"/>
          <w:highlight w:val="none"/>
          <w:lang w:val="en-US" w:eastAsia="zh-CN" w:bidi="th-TH"/>
        </w:rPr>
        <w:t>次</w:t>
      </w:r>
      <w:r>
        <w:rPr>
          <w:rFonts w:ascii="Times New Roman" w:hAnsi="Times New Roman"/>
          <w:color w:val="0000FF"/>
          <w:sz w:val="28"/>
          <w:szCs w:val="28"/>
          <w:highlight w:val="none"/>
          <w:lang w:bidi="th-TH"/>
        </w:rPr>
        <w:t>高压管道</w:t>
      </w:r>
      <w:r>
        <w:rPr>
          <w:rFonts w:hint="eastAsia" w:ascii="Times New Roman" w:hAnsi="Times New Roman"/>
          <w:b/>
          <w:bCs/>
          <w:color w:val="0000FF"/>
          <w:sz w:val="28"/>
          <w:szCs w:val="28"/>
          <w:highlight w:val="none"/>
          <w:lang w:val="en-US" w:eastAsia="zh-CN" w:bidi="th-TH"/>
        </w:rPr>
        <w:t>17.70</w:t>
      </w:r>
      <w:r>
        <w:rPr>
          <w:rFonts w:ascii="Times New Roman" w:hAnsi="Times New Roman"/>
          <w:b/>
          <w:bCs/>
          <w:color w:val="0000FF"/>
          <w:sz w:val="28"/>
          <w:szCs w:val="28"/>
          <w:highlight w:val="none"/>
          <w:lang w:bidi="th-TH"/>
        </w:rPr>
        <w:t>km</w:t>
      </w:r>
      <w:r>
        <w:rPr>
          <w:rFonts w:hint="eastAsia" w:ascii="Times New Roman" w:hAnsi="Times New Roman"/>
          <w:b w:val="0"/>
          <w:bCs w:val="0"/>
          <w:color w:val="0000FF"/>
          <w:sz w:val="28"/>
          <w:szCs w:val="28"/>
          <w:highlight w:val="none"/>
          <w:lang w:eastAsia="zh-CN" w:bidi="th-TH"/>
        </w:rPr>
        <w:t>；</w:t>
      </w:r>
      <w:r>
        <w:rPr>
          <w:rFonts w:hint="eastAsia" w:ascii="Times New Roman" w:hAnsi="Times New Roman"/>
          <w:color w:val="0000FF"/>
          <w:sz w:val="28"/>
          <w:szCs w:val="28"/>
          <w:highlight w:val="none"/>
          <w:lang w:val="en-US" w:eastAsia="zh-CN" w:bidi="th-TH"/>
        </w:rPr>
        <w:t>新建中压输配管网</w:t>
      </w:r>
      <w:r>
        <w:rPr>
          <w:rFonts w:hint="eastAsia" w:ascii="Times New Roman" w:hAnsi="Times New Roman"/>
          <w:b/>
          <w:bCs/>
          <w:color w:val="0000FF"/>
          <w:sz w:val="28"/>
          <w:szCs w:val="28"/>
          <w:highlight w:val="none"/>
          <w:lang w:val="en-US" w:eastAsia="zh-CN" w:bidi="th-TH"/>
        </w:rPr>
        <w:t>4.20km；</w:t>
      </w:r>
      <w:r>
        <w:rPr>
          <w:rFonts w:hint="eastAsia" w:ascii="Times New Roman" w:hAnsi="Times New Roman"/>
          <w:b w:val="0"/>
          <w:bCs w:val="0"/>
          <w:color w:val="0000FF"/>
          <w:sz w:val="28"/>
          <w:szCs w:val="28"/>
          <w:highlight w:val="none"/>
          <w:lang w:val="en-US" w:eastAsia="zh-CN" w:bidi="th-TH"/>
        </w:rPr>
        <w:t>新建高中压调压站</w:t>
      </w:r>
      <w:r>
        <w:rPr>
          <w:rFonts w:hint="eastAsia" w:ascii="Times New Roman" w:hAnsi="Times New Roman"/>
          <w:b/>
          <w:bCs/>
          <w:color w:val="0000FF"/>
          <w:sz w:val="28"/>
          <w:szCs w:val="28"/>
          <w:highlight w:val="none"/>
          <w:lang w:val="en-US" w:eastAsia="zh-CN" w:bidi="th-TH"/>
        </w:rPr>
        <w:t>1座</w:t>
      </w:r>
      <w:r>
        <w:rPr>
          <w:rFonts w:hint="eastAsia" w:ascii="Times New Roman" w:hAnsi="Times New Roman"/>
          <w:b w:val="0"/>
          <w:bCs w:val="0"/>
          <w:color w:val="0000FF"/>
          <w:sz w:val="28"/>
          <w:szCs w:val="28"/>
          <w:highlight w:val="none"/>
          <w:lang w:val="en-US" w:eastAsia="zh-CN" w:bidi="th-TH"/>
        </w:rPr>
        <w:t>。</w:t>
      </w:r>
    </w:p>
    <w:p>
      <w:pPr>
        <w:pStyle w:val="7"/>
        <w:ind w:firstLine="560"/>
        <w:rPr>
          <w:rFonts w:hint="eastAsia" w:ascii="Times New Roman" w:hAnsi="Times New Roman"/>
          <w:b w:val="0"/>
          <w:bCs w:val="0"/>
          <w:color w:val="0000FF"/>
          <w:sz w:val="28"/>
          <w:szCs w:val="28"/>
          <w:highlight w:val="none"/>
          <w:lang w:val="en-US" w:eastAsia="zh-CN" w:bidi="th-TH"/>
        </w:rPr>
      </w:pPr>
      <w:r>
        <w:rPr>
          <w:rFonts w:ascii="Times New Roman" w:hAnsi="Times New Roman"/>
          <w:color w:val="0000FF"/>
          <w:sz w:val="28"/>
          <w:szCs w:val="28"/>
          <w:highlight w:val="none"/>
          <w:lang w:bidi="th-TH"/>
        </w:rPr>
        <w:t>至</w:t>
      </w:r>
      <w:r>
        <w:rPr>
          <w:rFonts w:hint="eastAsia" w:ascii="Times New Roman" w:hAnsi="Times New Roman"/>
          <w:color w:val="0000FF"/>
          <w:sz w:val="28"/>
          <w:szCs w:val="28"/>
          <w:highlight w:val="none"/>
          <w:lang w:val="en-US" w:eastAsia="zh-CN" w:bidi="th-TH"/>
        </w:rPr>
        <w:t>远期规划</w:t>
      </w:r>
      <w:r>
        <w:rPr>
          <w:rFonts w:hint="eastAsia" w:ascii="Times New Roman" w:hAnsi="Times New Roman"/>
          <w:color w:val="0000FF"/>
          <w:sz w:val="28"/>
          <w:szCs w:val="28"/>
          <w:highlight w:val="none"/>
          <w:lang w:bidi="th-TH"/>
        </w:rPr>
        <w:t>期末</w:t>
      </w:r>
      <w:r>
        <w:rPr>
          <w:rFonts w:ascii="Times New Roman" w:hAnsi="Times New Roman"/>
          <w:color w:val="0000FF"/>
          <w:sz w:val="28"/>
          <w:szCs w:val="28"/>
          <w:highlight w:val="none"/>
          <w:lang w:bidi="th-TH"/>
        </w:rPr>
        <w:t>（20</w:t>
      </w:r>
      <w:r>
        <w:rPr>
          <w:rFonts w:hint="eastAsia" w:ascii="Times New Roman" w:hAnsi="Times New Roman"/>
          <w:color w:val="0000FF"/>
          <w:sz w:val="28"/>
          <w:szCs w:val="28"/>
          <w:highlight w:val="none"/>
          <w:lang w:val="en-US" w:eastAsia="zh-CN" w:bidi="th-TH"/>
        </w:rPr>
        <w:t>35</w:t>
      </w:r>
      <w:r>
        <w:rPr>
          <w:rFonts w:ascii="Times New Roman" w:hAnsi="Times New Roman"/>
          <w:color w:val="0000FF"/>
          <w:sz w:val="28"/>
          <w:szCs w:val="28"/>
          <w:highlight w:val="none"/>
          <w:lang w:bidi="th-TH"/>
        </w:rPr>
        <w:t>年）</w:t>
      </w:r>
      <w:r>
        <w:rPr>
          <w:rFonts w:hint="eastAsia" w:ascii="Times New Roman" w:hAnsi="Times New Roman"/>
          <w:color w:val="0000FF"/>
          <w:sz w:val="28"/>
          <w:szCs w:val="28"/>
          <w:highlight w:val="none"/>
          <w:lang w:bidi="th-TH"/>
        </w:rPr>
        <w:t>，</w:t>
      </w:r>
      <w:r>
        <w:rPr>
          <w:rFonts w:ascii="Times New Roman" w:hAnsi="Times New Roman"/>
          <w:color w:val="0000FF"/>
          <w:sz w:val="28"/>
          <w:szCs w:val="28"/>
          <w:highlight w:val="none"/>
          <w:lang w:bidi="th-TH"/>
        </w:rPr>
        <w:t>天然气供气规模为</w:t>
      </w:r>
      <w:r>
        <w:rPr>
          <w:rFonts w:hint="eastAsia" w:ascii="Times New Roman" w:hAnsi="Times New Roman"/>
          <w:b/>
          <w:bCs/>
          <w:color w:val="0000FF"/>
          <w:sz w:val="28"/>
          <w:szCs w:val="28"/>
          <w:highlight w:val="none"/>
          <w:lang w:val="en-US" w:eastAsia="zh-CN" w:bidi="th-TH"/>
        </w:rPr>
        <w:t>1.68</w:t>
      </w:r>
      <w:r>
        <w:rPr>
          <w:rFonts w:ascii="Times New Roman" w:hAnsi="Times New Roman"/>
          <w:b/>
          <w:bCs/>
          <w:color w:val="0000FF"/>
          <w:sz w:val="28"/>
          <w:szCs w:val="28"/>
          <w:highlight w:val="none"/>
          <w:lang w:bidi="th-TH"/>
        </w:rPr>
        <w:t>×</w:t>
      </w:r>
      <w:r>
        <w:rPr>
          <w:rFonts w:ascii="Times New Roman" w:hAnsi="Times New Roman"/>
          <w:b/>
          <w:color w:val="0000FF"/>
          <w:sz w:val="28"/>
          <w:szCs w:val="28"/>
          <w:highlight w:val="none"/>
          <w:lang w:bidi="th-TH"/>
        </w:rPr>
        <w:t>10</w:t>
      </w:r>
      <w:r>
        <w:rPr>
          <w:rFonts w:ascii="Times New Roman" w:hAnsi="Times New Roman"/>
          <w:b/>
          <w:color w:val="0000FF"/>
          <w:sz w:val="28"/>
          <w:szCs w:val="28"/>
          <w:highlight w:val="none"/>
          <w:vertAlign w:val="superscript"/>
          <w:lang w:bidi="th-TH"/>
        </w:rPr>
        <w:t>8</w:t>
      </w:r>
      <w:r>
        <w:rPr>
          <w:rFonts w:ascii="Times New Roman" w:hAnsi="Times New Roman"/>
          <w:b/>
          <w:color w:val="0000FF"/>
          <w:sz w:val="28"/>
          <w:szCs w:val="28"/>
          <w:highlight w:val="none"/>
          <w:lang w:bidi="th-TH"/>
        </w:rPr>
        <w:t>Nm</w:t>
      </w:r>
      <w:r>
        <w:rPr>
          <w:rFonts w:ascii="Times New Roman" w:hAnsi="Times New Roman"/>
          <w:b/>
          <w:color w:val="0000FF"/>
          <w:sz w:val="28"/>
          <w:szCs w:val="28"/>
          <w:highlight w:val="none"/>
          <w:vertAlign w:val="superscript"/>
          <w:lang w:bidi="th-TH"/>
        </w:rPr>
        <w:t>3</w:t>
      </w:r>
      <w:r>
        <w:rPr>
          <w:rFonts w:ascii="Times New Roman" w:hAnsi="Times New Roman"/>
          <w:b/>
          <w:color w:val="0000FF"/>
          <w:sz w:val="28"/>
          <w:szCs w:val="28"/>
          <w:highlight w:val="none"/>
          <w:lang w:bidi="th-TH"/>
        </w:rPr>
        <w:t>/a</w:t>
      </w:r>
      <w:r>
        <w:rPr>
          <w:rFonts w:hint="eastAsia" w:ascii="Times New Roman" w:hAnsi="Times New Roman"/>
          <w:color w:val="0000FF"/>
          <w:sz w:val="28"/>
          <w:szCs w:val="28"/>
          <w:highlight w:val="none"/>
          <w:lang w:bidi="th-TH"/>
        </w:rPr>
        <w:t>；</w:t>
      </w:r>
      <w:r>
        <w:rPr>
          <w:rFonts w:ascii="Times New Roman" w:hAnsi="Times New Roman"/>
          <w:color w:val="0000FF"/>
          <w:sz w:val="28"/>
          <w:szCs w:val="28"/>
          <w:highlight w:val="none"/>
          <w:lang w:bidi="th-TH"/>
        </w:rPr>
        <w:t>新建</w:t>
      </w:r>
      <w:r>
        <w:rPr>
          <w:rFonts w:hint="eastAsia" w:ascii="Times New Roman" w:hAnsi="Times New Roman"/>
          <w:color w:val="0000FF"/>
          <w:sz w:val="28"/>
          <w:szCs w:val="28"/>
          <w:highlight w:val="none"/>
          <w:lang w:val="en-US" w:eastAsia="zh-CN" w:bidi="th-TH"/>
        </w:rPr>
        <w:t>次</w:t>
      </w:r>
      <w:r>
        <w:rPr>
          <w:rFonts w:ascii="Times New Roman" w:hAnsi="Times New Roman"/>
          <w:color w:val="0000FF"/>
          <w:sz w:val="28"/>
          <w:szCs w:val="28"/>
          <w:highlight w:val="none"/>
          <w:lang w:bidi="th-TH"/>
        </w:rPr>
        <w:t>高压管道</w:t>
      </w:r>
      <w:r>
        <w:rPr>
          <w:rFonts w:hint="eastAsia" w:ascii="Times New Roman" w:hAnsi="Times New Roman"/>
          <w:b/>
          <w:bCs/>
          <w:color w:val="0000FF"/>
          <w:sz w:val="28"/>
          <w:szCs w:val="28"/>
          <w:highlight w:val="none"/>
          <w:lang w:val="en-US" w:eastAsia="zh-CN" w:bidi="th-TH"/>
        </w:rPr>
        <w:t>1.40</w:t>
      </w:r>
      <w:r>
        <w:rPr>
          <w:rFonts w:ascii="Times New Roman" w:hAnsi="Times New Roman"/>
          <w:b/>
          <w:bCs/>
          <w:color w:val="0000FF"/>
          <w:sz w:val="28"/>
          <w:szCs w:val="28"/>
          <w:highlight w:val="none"/>
          <w:lang w:bidi="th-TH"/>
        </w:rPr>
        <w:t>km</w:t>
      </w:r>
      <w:r>
        <w:rPr>
          <w:rFonts w:hint="eastAsia" w:ascii="Times New Roman" w:hAnsi="Times New Roman"/>
          <w:b/>
          <w:bCs/>
          <w:color w:val="0000FF"/>
          <w:sz w:val="28"/>
          <w:szCs w:val="28"/>
          <w:highlight w:val="none"/>
          <w:lang w:val="en-US" w:eastAsia="zh-CN" w:bidi="th-TH"/>
        </w:rPr>
        <w:t>；</w:t>
      </w:r>
      <w:r>
        <w:rPr>
          <w:rFonts w:hint="eastAsia" w:ascii="Times New Roman" w:hAnsi="Times New Roman"/>
          <w:b w:val="0"/>
          <w:bCs w:val="0"/>
          <w:color w:val="0000FF"/>
          <w:sz w:val="28"/>
          <w:szCs w:val="28"/>
          <w:highlight w:val="none"/>
          <w:lang w:val="en-US" w:eastAsia="zh-CN" w:bidi="th-TH"/>
        </w:rPr>
        <w:t>新建LNG储配站</w:t>
      </w:r>
      <w:r>
        <w:rPr>
          <w:rFonts w:hint="eastAsia" w:ascii="Times New Roman" w:hAnsi="Times New Roman"/>
          <w:b/>
          <w:bCs/>
          <w:color w:val="0000FF"/>
          <w:sz w:val="28"/>
          <w:szCs w:val="28"/>
          <w:highlight w:val="none"/>
          <w:lang w:val="en-US" w:eastAsia="zh-CN" w:bidi="th-TH"/>
        </w:rPr>
        <w:t>1座</w:t>
      </w:r>
      <w:r>
        <w:rPr>
          <w:rFonts w:hint="eastAsia" w:ascii="Times New Roman" w:hAnsi="Times New Roman"/>
          <w:b w:val="0"/>
          <w:bCs w:val="0"/>
          <w:color w:val="0000FF"/>
          <w:sz w:val="28"/>
          <w:szCs w:val="28"/>
          <w:highlight w:val="none"/>
          <w:lang w:val="en-US" w:eastAsia="zh-CN" w:bidi="th-TH"/>
        </w:rPr>
        <w:t>。</w:t>
      </w:r>
    </w:p>
    <w:p>
      <w:pPr>
        <w:pStyle w:val="3"/>
        <w:rPr>
          <w:color w:val="auto"/>
          <w:highlight w:val="none"/>
        </w:rPr>
      </w:pPr>
      <w:bookmarkStart w:id="45" w:name="_Toc5078"/>
      <w:r>
        <w:rPr>
          <w:rFonts w:hint="eastAsia"/>
          <w:color w:val="auto"/>
          <w:highlight w:val="none"/>
        </w:rPr>
        <w:t>第十</w:t>
      </w:r>
      <w:r>
        <w:rPr>
          <w:rFonts w:hint="eastAsia"/>
          <w:color w:val="auto"/>
          <w:highlight w:val="none"/>
          <w:lang w:val="en-US" w:eastAsia="zh-CN"/>
        </w:rPr>
        <w:t>三</w:t>
      </w:r>
      <w:r>
        <w:rPr>
          <w:rFonts w:hint="eastAsia"/>
          <w:color w:val="auto"/>
          <w:highlight w:val="none"/>
        </w:rPr>
        <w:t>条：</w:t>
      </w:r>
      <w:r>
        <w:rPr>
          <w:rFonts w:hint="eastAsia"/>
          <w:color w:val="auto"/>
          <w:highlight w:val="none"/>
          <w:lang w:val="en-US" w:eastAsia="zh-CN"/>
        </w:rPr>
        <w:t>次</w:t>
      </w:r>
      <w:r>
        <w:rPr>
          <w:rFonts w:hint="eastAsia"/>
          <w:color w:val="auto"/>
          <w:highlight w:val="none"/>
        </w:rPr>
        <w:t>高压管道规划</w:t>
      </w:r>
      <w:bookmarkEnd w:id="45"/>
    </w:p>
    <w:p>
      <w:pPr>
        <w:ind w:firstLine="560" w:firstLineChars="200"/>
        <w:rPr>
          <w:rFonts w:ascii="Times New Roman" w:hAnsi="Times New Roman"/>
          <w:b/>
          <w:bCs/>
          <w:color w:val="0000FF"/>
          <w:sz w:val="24"/>
          <w:highlight w:val="none"/>
          <w:lang w:bidi="th-TH"/>
        </w:rPr>
      </w:pPr>
      <w:r>
        <w:rPr>
          <w:rFonts w:hint="eastAsia" w:ascii="Times New Roman" w:hAnsi="Times New Roman" w:cs="Times New Roman"/>
          <w:color w:val="0000FF"/>
          <w:sz w:val="28"/>
          <w:szCs w:val="28"/>
          <w:highlight w:val="none"/>
          <w:lang w:val="en-US" w:eastAsia="zh-CN"/>
        </w:rPr>
        <w:t>近期（2023-2025年）规划次</w:t>
      </w:r>
      <w:r>
        <w:rPr>
          <w:rFonts w:hint="eastAsia" w:ascii="Times New Roman" w:hAnsi="Times New Roman" w:cs="Times New Roman"/>
          <w:color w:val="0000FF"/>
          <w:sz w:val="28"/>
          <w:szCs w:val="28"/>
          <w:highlight w:val="none"/>
        </w:rPr>
        <w:t>高压管道</w:t>
      </w:r>
      <w:r>
        <w:rPr>
          <w:rFonts w:hint="eastAsia" w:ascii="Times New Roman" w:hAnsi="Times New Roman" w:cs="Times New Roman"/>
          <w:color w:val="0000FF"/>
          <w:sz w:val="28"/>
          <w:szCs w:val="28"/>
          <w:highlight w:val="none"/>
          <w:lang w:val="en-US" w:eastAsia="zh-CN"/>
        </w:rPr>
        <w:t>18.05k</w:t>
      </w:r>
      <w:r>
        <w:rPr>
          <w:rFonts w:hint="eastAsia" w:ascii="Times New Roman" w:hAnsi="Times New Roman" w:cs="Times New Roman"/>
          <w:color w:val="0000FF"/>
          <w:sz w:val="28"/>
          <w:szCs w:val="28"/>
          <w:highlight w:val="none"/>
        </w:rPr>
        <w:t>m，</w:t>
      </w:r>
      <w:r>
        <w:rPr>
          <w:rFonts w:hint="eastAsia" w:ascii="Times New Roman" w:hAnsi="Times New Roman" w:cs="Times New Roman"/>
          <w:color w:val="0000FF"/>
          <w:sz w:val="28"/>
          <w:szCs w:val="28"/>
          <w:highlight w:val="none"/>
          <w:lang w:val="en-US" w:eastAsia="zh-CN"/>
        </w:rPr>
        <w:t>中期（2026-2030年）规划次高压管道17.70km，远期（2031-2035年）规划次</w:t>
      </w:r>
      <w:r>
        <w:rPr>
          <w:rFonts w:hint="eastAsia" w:ascii="Times New Roman" w:hAnsi="Times New Roman" w:cs="Times New Roman"/>
          <w:color w:val="0000FF"/>
          <w:sz w:val="28"/>
          <w:szCs w:val="28"/>
          <w:highlight w:val="none"/>
        </w:rPr>
        <w:t>高压管道</w:t>
      </w:r>
      <w:r>
        <w:rPr>
          <w:rFonts w:hint="eastAsia" w:ascii="Times New Roman" w:hAnsi="Times New Roman" w:cs="Times New Roman"/>
          <w:color w:val="0000FF"/>
          <w:sz w:val="28"/>
          <w:szCs w:val="28"/>
          <w:highlight w:val="none"/>
          <w:lang w:val="en-US" w:eastAsia="zh-CN"/>
        </w:rPr>
        <w:t>1.40k</w:t>
      </w:r>
      <w:r>
        <w:rPr>
          <w:rFonts w:hint="eastAsia" w:ascii="Times New Roman" w:hAnsi="Times New Roman" w:cs="Times New Roman"/>
          <w:color w:val="0000FF"/>
          <w:sz w:val="28"/>
          <w:szCs w:val="28"/>
          <w:highlight w:val="none"/>
        </w:rPr>
        <w:t>m，</w:t>
      </w:r>
      <w:r>
        <w:rPr>
          <w:rFonts w:hint="eastAsia" w:ascii="Times New Roman" w:hAnsi="Times New Roman" w:cs="Times New Roman"/>
          <w:color w:val="0000FF"/>
          <w:sz w:val="28"/>
          <w:szCs w:val="28"/>
          <w:highlight w:val="none"/>
          <w:lang w:val="en-US" w:eastAsia="zh-CN"/>
        </w:rPr>
        <w:t>合计37.15km，具体路由见表4-1、表4-2和表4-3</w:t>
      </w:r>
      <w:r>
        <w:rPr>
          <w:rFonts w:ascii="Times New Roman" w:hAnsi="Times New Roman" w:cs="Times New Roman"/>
          <w:color w:val="0000FF"/>
          <w:sz w:val="28"/>
          <w:szCs w:val="28"/>
          <w:highlight w:val="none"/>
        </w:rPr>
        <w:t>。</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b/>
          <w:bCs/>
          <w:color w:val="auto"/>
          <w:sz w:val="24"/>
          <w:highlight w:val="none"/>
          <w:lang w:bidi="th-TH"/>
        </w:rPr>
      </w:pPr>
      <w:r>
        <w:rPr>
          <w:rFonts w:ascii="Times New Roman" w:hAnsi="Times New Roman"/>
          <w:b/>
          <w:bCs/>
          <w:color w:val="auto"/>
          <w:sz w:val="24"/>
          <w:highlight w:val="none"/>
          <w:lang w:bidi="th-TH"/>
        </w:rPr>
        <w:t>表4-</w:t>
      </w:r>
      <w:r>
        <w:rPr>
          <w:rFonts w:hint="eastAsia" w:ascii="Times New Roman" w:hAnsi="Times New Roman"/>
          <w:b/>
          <w:bCs/>
          <w:color w:val="auto"/>
          <w:sz w:val="24"/>
          <w:highlight w:val="none"/>
          <w:lang w:val="en-US" w:eastAsia="zh-CN" w:bidi="th-TH"/>
        </w:rPr>
        <w:t>1</w:t>
      </w:r>
      <w:r>
        <w:rPr>
          <w:rFonts w:ascii="Times New Roman" w:hAnsi="Times New Roman"/>
          <w:b/>
          <w:bCs/>
          <w:color w:val="auto"/>
          <w:sz w:val="24"/>
          <w:highlight w:val="none"/>
          <w:lang w:bidi="th-TH"/>
        </w:rPr>
        <w:t xml:space="preserve"> </w:t>
      </w:r>
      <w:r>
        <w:rPr>
          <w:rFonts w:hint="eastAsia" w:ascii="Times New Roman" w:hAnsi="Times New Roman"/>
          <w:b/>
          <w:bCs/>
          <w:color w:val="auto"/>
          <w:sz w:val="24"/>
          <w:highlight w:val="none"/>
          <w:lang w:val="en-US" w:eastAsia="zh-CN" w:bidi="th-TH"/>
        </w:rPr>
        <w:t xml:space="preserve"> 2023-2025年</w:t>
      </w:r>
      <w:r>
        <w:rPr>
          <w:rFonts w:hint="eastAsia" w:ascii="Times New Roman" w:hAnsi="Times New Roman"/>
          <w:b/>
          <w:bCs/>
          <w:color w:val="auto"/>
          <w:sz w:val="24"/>
          <w:highlight w:val="none"/>
          <w:lang w:bidi="th-TH"/>
        </w:rPr>
        <w:t>规划</w:t>
      </w:r>
      <w:r>
        <w:rPr>
          <w:rFonts w:hint="eastAsia" w:ascii="Times New Roman" w:hAnsi="Times New Roman"/>
          <w:b/>
          <w:bCs/>
          <w:color w:val="auto"/>
          <w:sz w:val="24"/>
          <w:highlight w:val="none"/>
          <w:lang w:val="en-US" w:eastAsia="zh-CN" w:bidi="th-TH"/>
        </w:rPr>
        <w:t>次</w:t>
      </w:r>
      <w:r>
        <w:rPr>
          <w:rFonts w:hint="eastAsia" w:ascii="Times New Roman" w:hAnsi="Times New Roman"/>
          <w:b/>
          <w:bCs/>
          <w:color w:val="auto"/>
          <w:sz w:val="24"/>
          <w:highlight w:val="none"/>
          <w:lang w:bidi="th-TH"/>
        </w:rPr>
        <w:t>高压管道</w:t>
      </w:r>
    </w:p>
    <w:tbl>
      <w:tblPr>
        <w:tblStyle w:val="28"/>
        <w:tblW w:w="5000" w:type="pct"/>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0"/>
        <w:gridCol w:w="3525"/>
        <w:gridCol w:w="1272"/>
        <w:gridCol w:w="1135"/>
        <w:gridCol w:w="1072"/>
        <w:gridCol w:w="1094"/>
        <w:gridCol w:w="1841"/>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134" w:rightChars="-64"/>
              <w:jc w:val="both"/>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序号</w:t>
            </w:r>
          </w:p>
        </w:tc>
        <w:tc>
          <w:tcPr>
            <w:tcW w:w="168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起止点</w:t>
            </w:r>
          </w:p>
        </w:tc>
        <w:tc>
          <w:tcPr>
            <w:tcW w:w="60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设计压力（MPa）</w:t>
            </w:r>
          </w:p>
        </w:tc>
        <w:tc>
          <w:tcPr>
            <w:tcW w:w="5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管材</w:t>
            </w:r>
          </w:p>
        </w:tc>
        <w:tc>
          <w:tcPr>
            <w:tcW w:w="51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管径（mm）</w:t>
            </w:r>
          </w:p>
        </w:tc>
        <w:tc>
          <w:tcPr>
            <w:tcW w:w="5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长度（km）</w:t>
            </w:r>
          </w:p>
        </w:tc>
        <w:tc>
          <w:tcPr>
            <w:tcW w:w="8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建设时间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1</w:t>
            </w:r>
          </w:p>
        </w:tc>
        <w:tc>
          <w:tcPr>
            <w:tcW w:w="3525"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szCs w:val="22"/>
                <w:highlight w:val="none"/>
              </w:rPr>
            </w:pPr>
            <w:r>
              <w:rPr>
                <w:rFonts w:hint="eastAsia" w:ascii="Times New Roman" w:hAnsi="Times New Roman" w:cs="Times New Roman"/>
                <w:bCs/>
                <w:color w:val="auto"/>
                <w:sz w:val="24"/>
                <w:szCs w:val="22"/>
                <w:highlight w:val="none"/>
                <w:lang w:val="en-US" w:eastAsia="zh-CN"/>
              </w:rPr>
              <w:t>经七街（同益南路-南侧开发边界）</w:t>
            </w:r>
          </w:p>
        </w:tc>
        <w:tc>
          <w:tcPr>
            <w:tcW w:w="12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1.6</w:t>
            </w:r>
          </w:p>
        </w:tc>
        <w:tc>
          <w:tcPr>
            <w:tcW w:w="113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钢管</w:t>
            </w:r>
          </w:p>
        </w:tc>
        <w:tc>
          <w:tcPr>
            <w:tcW w:w="10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DN200</w:t>
            </w:r>
          </w:p>
        </w:tc>
        <w:tc>
          <w:tcPr>
            <w:tcW w:w="1094"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1.90</w:t>
            </w:r>
          </w:p>
        </w:tc>
        <w:tc>
          <w:tcPr>
            <w:tcW w:w="1841"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2023-2025年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2</w:t>
            </w:r>
          </w:p>
        </w:tc>
        <w:tc>
          <w:tcPr>
            <w:tcW w:w="3525"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4"/>
                <w:szCs w:val="22"/>
                <w:highlight w:val="none"/>
                <w:lang w:val="en-US" w:eastAsia="zh-CN"/>
              </w:rPr>
            </w:pPr>
            <w:r>
              <w:rPr>
                <w:rFonts w:hint="eastAsia" w:ascii="Times New Roman" w:hAnsi="Times New Roman" w:cs="Times New Roman"/>
                <w:bCs/>
                <w:color w:val="auto"/>
                <w:sz w:val="24"/>
                <w:szCs w:val="22"/>
                <w:highlight w:val="none"/>
                <w:lang w:val="en-US" w:eastAsia="zh-CN"/>
              </w:rPr>
              <w:t>经八街（同益南路-南延至经八街-东洲河岸）</w:t>
            </w:r>
          </w:p>
        </w:tc>
        <w:tc>
          <w:tcPr>
            <w:tcW w:w="12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1.6</w:t>
            </w:r>
          </w:p>
        </w:tc>
        <w:tc>
          <w:tcPr>
            <w:tcW w:w="113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钢管</w:t>
            </w:r>
          </w:p>
        </w:tc>
        <w:tc>
          <w:tcPr>
            <w:tcW w:w="10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DN200</w:t>
            </w:r>
          </w:p>
        </w:tc>
        <w:tc>
          <w:tcPr>
            <w:tcW w:w="1094"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1.60</w:t>
            </w:r>
          </w:p>
        </w:tc>
        <w:tc>
          <w:tcPr>
            <w:tcW w:w="1841"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2023-2025年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3</w:t>
            </w:r>
          </w:p>
        </w:tc>
        <w:tc>
          <w:tcPr>
            <w:tcW w:w="3525"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szCs w:val="22"/>
                <w:highlight w:val="none"/>
              </w:rPr>
            </w:pPr>
            <w:r>
              <w:rPr>
                <w:rFonts w:hint="eastAsia" w:ascii="Times New Roman" w:hAnsi="Times New Roman" w:cs="Times New Roman"/>
                <w:bCs/>
                <w:color w:val="auto"/>
                <w:sz w:val="24"/>
                <w:szCs w:val="22"/>
                <w:highlight w:val="none"/>
                <w:lang w:val="en-US" w:eastAsia="zh-CN"/>
              </w:rPr>
              <w:t>同益南路（经六街-经八街）</w:t>
            </w:r>
          </w:p>
        </w:tc>
        <w:tc>
          <w:tcPr>
            <w:tcW w:w="12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1.6</w:t>
            </w:r>
          </w:p>
        </w:tc>
        <w:tc>
          <w:tcPr>
            <w:tcW w:w="113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钢管</w:t>
            </w:r>
          </w:p>
        </w:tc>
        <w:tc>
          <w:tcPr>
            <w:tcW w:w="10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DN200</w:t>
            </w:r>
          </w:p>
        </w:tc>
        <w:tc>
          <w:tcPr>
            <w:tcW w:w="1094"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0.50</w:t>
            </w:r>
          </w:p>
        </w:tc>
        <w:tc>
          <w:tcPr>
            <w:tcW w:w="1841"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2023-2025年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4</w:t>
            </w:r>
          </w:p>
        </w:tc>
        <w:tc>
          <w:tcPr>
            <w:tcW w:w="3525"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bCs/>
                <w:color w:val="auto"/>
                <w:sz w:val="24"/>
                <w:szCs w:val="22"/>
                <w:highlight w:val="none"/>
                <w:lang w:val="en-US" w:eastAsia="zh-CN"/>
              </w:rPr>
            </w:pPr>
            <w:r>
              <w:rPr>
                <w:rFonts w:hint="eastAsia" w:ascii="Times New Roman" w:hAnsi="Times New Roman" w:cs="Times New Roman"/>
                <w:bCs/>
                <w:color w:val="auto"/>
                <w:sz w:val="24"/>
                <w:szCs w:val="22"/>
                <w:highlight w:val="none"/>
                <w:lang w:val="en-US" w:eastAsia="zh-CN"/>
              </w:rPr>
              <w:t>纬六路（齐隆东街-纬六路东延）</w:t>
            </w:r>
          </w:p>
        </w:tc>
        <w:tc>
          <w:tcPr>
            <w:tcW w:w="12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1.6</w:t>
            </w:r>
          </w:p>
        </w:tc>
        <w:tc>
          <w:tcPr>
            <w:tcW w:w="113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钢管</w:t>
            </w:r>
          </w:p>
        </w:tc>
        <w:tc>
          <w:tcPr>
            <w:tcW w:w="10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DN200</w:t>
            </w:r>
          </w:p>
        </w:tc>
        <w:tc>
          <w:tcPr>
            <w:tcW w:w="1094"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0.60</w:t>
            </w:r>
          </w:p>
        </w:tc>
        <w:tc>
          <w:tcPr>
            <w:tcW w:w="1841"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2023-2025年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5</w:t>
            </w:r>
          </w:p>
        </w:tc>
        <w:tc>
          <w:tcPr>
            <w:tcW w:w="3525"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szCs w:val="22"/>
                <w:highlight w:val="none"/>
              </w:rPr>
            </w:pPr>
            <w:r>
              <w:rPr>
                <w:rFonts w:hint="eastAsia" w:ascii="Times New Roman" w:hAnsi="Times New Roman" w:cs="Times New Roman"/>
                <w:bCs/>
                <w:color w:val="auto"/>
                <w:sz w:val="24"/>
                <w:szCs w:val="22"/>
                <w:highlight w:val="none"/>
                <w:lang w:val="en-US" w:eastAsia="zh-CN"/>
              </w:rPr>
              <w:t>齐隆东街（纬六路-齐隆路）</w:t>
            </w:r>
          </w:p>
        </w:tc>
        <w:tc>
          <w:tcPr>
            <w:tcW w:w="12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1.6</w:t>
            </w:r>
          </w:p>
        </w:tc>
        <w:tc>
          <w:tcPr>
            <w:tcW w:w="113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钢管</w:t>
            </w:r>
          </w:p>
        </w:tc>
        <w:tc>
          <w:tcPr>
            <w:tcW w:w="10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DN200</w:t>
            </w:r>
          </w:p>
        </w:tc>
        <w:tc>
          <w:tcPr>
            <w:tcW w:w="1094"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0.70</w:t>
            </w:r>
          </w:p>
        </w:tc>
        <w:tc>
          <w:tcPr>
            <w:tcW w:w="1841"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2023-2025年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6</w:t>
            </w:r>
          </w:p>
        </w:tc>
        <w:tc>
          <w:tcPr>
            <w:tcW w:w="3525"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szCs w:val="22"/>
                <w:highlight w:val="none"/>
              </w:rPr>
            </w:pPr>
            <w:r>
              <w:rPr>
                <w:rFonts w:hint="eastAsia" w:ascii="Times New Roman" w:hAnsi="Times New Roman" w:cs="Times New Roman"/>
                <w:bCs/>
                <w:color w:val="auto"/>
                <w:sz w:val="24"/>
                <w:szCs w:val="22"/>
                <w:highlight w:val="none"/>
                <w:lang w:val="en-US" w:eastAsia="zh-CN"/>
              </w:rPr>
              <w:t>齐隆路（齐隆东街-辽中环线高速与东科街交叉）</w:t>
            </w:r>
          </w:p>
        </w:tc>
        <w:tc>
          <w:tcPr>
            <w:tcW w:w="12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1.6</w:t>
            </w:r>
          </w:p>
        </w:tc>
        <w:tc>
          <w:tcPr>
            <w:tcW w:w="113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钢管</w:t>
            </w:r>
          </w:p>
        </w:tc>
        <w:tc>
          <w:tcPr>
            <w:tcW w:w="10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DN200</w:t>
            </w:r>
          </w:p>
        </w:tc>
        <w:tc>
          <w:tcPr>
            <w:tcW w:w="1094"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0.65</w:t>
            </w:r>
          </w:p>
        </w:tc>
        <w:tc>
          <w:tcPr>
            <w:tcW w:w="1841"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2023-2025年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7</w:t>
            </w:r>
          </w:p>
        </w:tc>
        <w:tc>
          <w:tcPr>
            <w:tcW w:w="3525"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bCs/>
                <w:color w:val="auto"/>
                <w:sz w:val="24"/>
                <w:szCs w:val="22"/>
                <w:highlight w:val="none"/>
                <w:lang w:val="en-US" w:eastAsia="zh-CN"/>
              </w:rPr>
            </w:pPr>
            <w:r>
              <w:rPr>
                <w:rFonts w:hint="eastAsia" w:ascii="Times New Roman" w:hAnsi="Times New Roman" w:cs="Times New Roman"/>
                <w:bCs/>
                <w:color w:val="auto"/>
                <w:sz w:val="24"/>
                <w:szCs w:val="22"/>
                <w:highlight w:val="none"/>
                <w:lang w:val="en-US" w:eastAsia="zh-CN"/>
              </w:rPr>
              <w:t>经十一街再生园段（特力环保-四道岭路）</w:t>
            </w:r>
          </w:p>
        </w:tc>
        <w:tc>
          <w:tcPr>
            <w:tcW w:w="12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1.6</w:t>
            </w:r>
          </w:p>
        </w:tc>
        <w:tc>
          <w:tcPr>
            <w:tcW w:w="113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钢管</w:t>
            </w:r>
          </w:p>
        </w:tc>
        <w:tc>
          <w:tcPr>
            <w:tcW w:w="10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DN200</w:t>
            </w:r>
          </w:p>
        </w:tc>
        <w:tc>
          <w:tcPr>
            <w:tcW w:w="1094"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2.00</w:t>
            </w:r>
          </w:p>
        </w:tc>
        <w:tc>
          <w:tcPr>
            <w:tcW w:w="1841"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2023-2025年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8</w:t>
            </w:r>
          </w:p>
        </w:tc>
        <w:tc>
          <w:tcPr>
            <w:tcW w:w="3525"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bCs/>
                <w:color w:val="auto"/>
                <w:sz w:val="24"/>
                <w:szCs w:val="22"/>
                <w:highlight w:val="none"/>
                <w:lang w:val="en-US" w:eastAsia="zh-CN"/>
              </w:rPr>
            </w:pPr>
            <w:r>
              <w:rPr>
                <w:rFonts w:hint="eastAsia" w:ascii="Times New Roman" w:hAnsi="Times New Roman" w:cs="Times New Roman"/>
                <w:bCs/>
                <w:color w:val="auto"/>
                <w:sz w:val="24"/>
                <w:szCs w:val="22"/>
                <w:highlight w:val="none"/>
                <w:lang w:val="en-US" w:eastAsia="zh-CN"/>
              </w:rPr>
              <w:t>再生园CNG减压站-穿山-金洋线兰山二路</w:t>
            </w:r>
          </w:p>
        </w:tc>
        <w:tc>
          <w:tcPr>
            <w:tcW w:w="12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1.6</w:t>
            </w:r>
          </w:p>
        </w:tc>
        <w:tc>
          <w:tcPr>
            <w:tcW w:w="113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钢管</w:t>
            </w:r>
          </w:p>
        </w:tc>
        <w:tc>
          <w:tcPr>
            <w:tcW w:w="10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DN200</w:t>
            </w:r>
          </w:p>
        </w:tc>
        <w:tc>
          <w:tcPr>
            <w:tcW w:w="1094"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2.00</w:t>
            </w:r>
          </w:p>
        </w:tc>
        <w:tc>
          <w:tcPr>
            <w:tcW w:w="1841"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2023-2025年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9</w:t>
            </w:r>
          </w:p>
        </w:tc>
        <w:tc>
          <w:tcPr>
            <w:tcW w:w="3525"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bCs/>
                <w:color w:val="auto"/>
                <w:sz w:val="24"/>
                <w:szCs w:val="22"/>
                <w:highlight w:val="none"/>
                <w:lang w:val="en-US" w:eastAsia="zh-CN"/>
              </w:rPr>
            </w:pPr>
            <w:r>
              <w:rPr>
                <w:rFonts w:hint="eastAsia" w:ascii="Times New Roman" w:hAnsi="Times New Roman" w:cs="Times New Roman"/>
                <w:bCs/>
                <w:color w:val="auto"/>
                <w:sz w:val="24"/>
                <w:szCs w:val="22"/>
                <w:highlight w:val="none"/>
                <w:lang w:val="en-US" w:eastAsia="zh-CN"/>
              </w:rPr>
              <w:t>四道岭路（经十一街再生园段-金洋线）</w:t>
            </w:r>
          </w:p>
        </w:tc>
        <w:tc>
          <w:tcPr>
            <w:tcW w:w="12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1.6</w:t>
            </w:r>
          </w:p>
        </w:tc>
        <w:tc>
          <w:tcPr>
            <w:tcW w:w="113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钢管</w:t>
            </w:r>
          </w:p>
        </w:tc>
        <w:tc>
          <w:tcPr>
            <w:tcW w:w="10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DN200</w:t>
            </w:r>
          </w:p>
        </w:tc>
        <w:tc>
          <w:tcPr>
            <w:tcW w:w="1094"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2.10</w:t>
            </w:r>
          </w:p>
        </w:tc>
        <w:tc>
          <w:tcPr>
            <w:tcW w:w="1841"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2023-2025年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10</w:t>
            </w:r>
          </w:p>
        </w:tc>
        <w:tc>
          <w:tcPr>
            <w:tcW w:w="3525"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bCs/>
                <w:color w:val="auto"/>
                <w:sz w:val="24"/>
                <w:szCs w:val="22"/>
                <w:highlight w:val="none"/>
                <w:lang w:val="en-US" w:eastAsia="zh-CN"/>
              </w:rPr>
            </w:pPr>
            <w:r>
              <w:rPr>
                <w:rFonts w:hint="eastAsia" w:ascii="Times New Roman" w:hAnsi="Times New Roman" w:cs="Times New Roman"/>
                <w:bCs/>
                <w:color w:val="auto"/>
                <w:sz w:val="24"/>
                <w:szCs w:val="22"/>
                <w:highlight w:val="none"/>
                <w:lang w:val="en-US" w:eastAsia="zh-CN"/>
              </w:rPr>
              <w:t>金洋线（北侧开发边界-关家沟路）</w:t>
            </w:r>
          </w:p>
        </w:tc>
        <w:tc>
          <w:tcPr>
            <w:tcW w:w="12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1.6</w:t>
            </w:r>
          </w:p>
        </w:tc>
        <w:tc>
          <w:tcPr>
            <w:tcW w:w="113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钢管</w:t>
            </w:r>
          </w:p>
        </w:tc>
        <w:tc>
          <w:tcPr>
            <w:tcW w:w="10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DN200</w:t>
            </w:r>
          </w:p>
        </w:tc>
        <w:tc>
          <w:tcPr>
            <w:tcW w:w="1094"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kern w:val="2"/>
                <w:sz w:val="24"/>
                <w:szCs w:val="24"/>
                <w:highlight w:val="none"/>
                <w:lang w:val="en-US" w:eastAsia="zh-CN" w:bidi="ar-SA"/>
              </w:rPr>
              <w:t>4.00</w:t>
            </w:r>
          </w:p>
        </w:tc>
        <w:tc>
          <w:tcPr>
            <w:tcW w:w="1841"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2023-2025年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11</w:t>
            </w:r>
          </w:p>
        </w:tc>
        <w:tc>
          <w:tcPr>
            <w:tcW w:w="3525"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bCs/>
                <w:color w:val="auto"/>
                <w:sz w:val="24"/>
                <w:szCs w:val="22"/>
                <w:highlight w:val="none"/>
                <w:lang w:val="en-US" w:eastAsia="zh-CN"/>
              </w:rPr>
            </w:pPr>
            <w:r>
              <w:rPr>
                <w:rFonts w:hint="eastAsia" w:ascii="Times New Roman" w:hAnsi="Times New Roman" w:cs="Times New Roman"/>
                <w:bCs/>
                <w:color w:val="auto"/>
                <w:sz w:val="24"/>
                <w:szCs w:val="22"/>
                <w:highlight w:val="none"/>
                <w:lang w:val="en-US" w:eastAsia="zh-CN"/>
              </w:rPr>
              <w:t>星环路（金洋线-星环路东北延至开发边界）</w:t>
            </w:r>
          </w:p>
        </w:tc>
        <w:tc>
          <w:tcPr>
            <w:tcW w:w="12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1.6</w:t>
            </w:r>
          </w:p>
        </w:tc>
        <w:tc>
          <w:tcPr>
            <w:tcW w:w="113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钢管</w:t>
            </w:r>
          </w:p>
        </w:tc>
        <w:tc>
          <w:tcPr>
            <w:tcW w:w="107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DN200</w:t>
            </w:r>
          </w:p>
        </w:tc>
        <w:tc>
          <w:tcPr>
            <w:tcW w:w="1094"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2.00</w:t>
            </w:r>
          </w:p>
        </w:tc>
        <w:tc>
          <w:tcPr>
            <w:tcW w:w="1841"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2023-2025年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8" w:type="pct"/>
            <w:gridSpan w:val="5"/>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
                <w:bCs w:val="0"/>
                <w:color w:val="auto"/>
                <w:sz w:val="24"/>
                <w:highlight w:val="none"/>
                <w:lang w:val="en-US" w:eastAsia="zh-CN"/>
              </w:rPr>
            </w:pPr>
            <w:r>
              <w:rPr>
                <w:rFonts w:hint="eastAsia" w:ascii="Times New Roman" w:hAnsi="Times New Roman" w:cs="Times New Roman"/>
                <w:b/>
                <w:bCs w:val="0"/>
                <w:color w:val="auto"/>
                <w:sz w:val="24"/>
                <w:highlight w:val="none"/>
                <w:lang w:val="en-US" w:eastAsia="zh-CN"/>
              </w:rPr>
              <w:t>合  计</w:t>
            </w:r>
          </w:p>
        </w:tc>
        <w:tc>
          <w:tcPr>
            <w:tcW w:w="522"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val="0"/>
                <w:i w:val="0"/>
                <w:iCs w:val="0"/>
                <w:color w:val="auto"/>
                <w:kern w:val="0"/>
                <w:sz w:val="24"/>
                <w:szCs w:val="24"/>
                <w:highlight w:val="none"/>
                <w:u w:val="none"/>
                <w:lang w:val="en-US" w:eastAsia="zh-CN" w:bidi="ar"/>
              </w:rPr>
            </w:pPr>
            <w:r>
              <w:rPr>
                <w:rFonts w:hint="eastAsia" w:ascii="Times New Roman" w:hAnsi="Times New Roman" w:eastAsia="宋体" w:cs="Times New Roman"/>
                <w:b/>
                <w:bCs w:val="0"/>
                <w:i w:val="0"/>
                <w:iCs w:val="0"/>
                <w:color w:val="auto"/>
                <w:kern w:val="0"/>
                <w:sz w:val="24"/>
                <w:szCs w:val="24"/>
                <w:highlight w:val="none"/>
                <w:u w:val="none"/>
                <w:lang w:val="en-US" w:eastAsia="zh-CN" w:bidi="ar"/>
              </w:rPr>
              <w:t>18.05</w:t>
            </w:r>
          </w:p>
        </w:tc>
        <w:tc>
          <w:tcPr>
            <w:tcW w:w="879"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
                <w:bCs w:val="0"/>
                <w:color w:val="auto"/>
                <w:sz w:val="24"/>
                <w:highlight w:val="none"/>
                <w:lang w:val="en-US" w:eastAsia="zh-CN"/>
              </w:rPr>
              <w:t>2023-2025年</w:t>
            </w:r>
          </w:p>
        </w:tc>
      </w:tr>
    </w:tbl>
    <w:p>
      <w:pPr>
        <w:bidi w:val="0"/>
        <w:rPr>
          <w:rFonts w:hint="eastAsia"/>
          <w:color w:val="auto"/>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b/>
          <w:bCs/>
          <w:color w:val="auto"/>
          <w:sz w:val="24"/>
          <w:highlight w:val="none"/>
          <w:lang w:bidi="th-TH"/>
        </w:rPr>
      </w:pPr>
      <w:r>
        <w:rPr>
          <w:rFonts w:ascii="Times New Roman" w:hAnsi="Times New Roman"/>
          <w:b/>
          <w:bCs/>
          <w:color w:val="auto"/>
          <w:sz w:val="24"/>
          <w:highlight w:val="none"/>
          <w:lang w:bidi="th-TH"/>
        </w:rPr>
        <w:t>表4-</w:t>
      </w:r>
      <w:r>
        <w:rPr>
          <w:rFonts w:hint="eastAsia" w:ascii="Times New Roman" w:hAnsi="Times New Roman"/>
          <w:b/>
          <w:bCs/>
          <w:color w:val="auto"/>
          <w:sz w:val="24"/>
          <w:highlight w:val="none"/>
          <w:lang w:val="en-US" w:eastAsia="zh-CN" w:bidi="th-TH"/>
        </w:rPr>
        <w:t>2</w:t>
      </w:r>
      <w:r>
        <w:rPr>
          <w:rFonts w:ascii="Times New Roman" w:hAnsi="Times New Roman"/>
          <w:b/>
          <w:bCs/>
          <w:color w:val="auto"/>
          <w:sz w:val="24"/>
          <w:highlight w:val="none"/>
          <w:lang w:bidi="th-TH"/>
        </w:rPr>
        <w:t xml:space="preserve"> </w:t>
      </w:r>
      <w:r>
        <w:rPr>
          <w:rFonts w:hint="eastAsia" w:ascii="Times New Roman" w:hAnsi="Times New Roman"/>
          <w:b/>
          <w:bCs/>
          <w:color w:val="auto"/>
          <w:sz w:val="24"/>
          <w:highlight w:val="none"/>
          <w:lang w:val="en-US" w:eastAsia="zh-CN" w:bidi="th-TH"/>
        </w:rPr>
        <w:t xml:space="preserve"> </w:t>
      </w:r>
      <w:r>
        <w:rPr>
          <w:rFonts w:hint="eastAsia" w:ascii="Times New Roman" w:hAnsi="Times New Roman"/>
          <w:b/>
          <w:bCs/>
          <w:color w:val="0000FF"/>
          <w:sz w:val="24"/>
          <w:highlight w:val="none"/>
          <w:lang w:val="en-US" w:eastAsia="zh-CN" w:bidi="th-TH"/>
        </w:rPr>
        <w:t>2026-2030年</w:t>
      </w:r>
      <w:r>
        <w:rPr>
          <w:rFonts w:hint="eastAsia" w:ascii="Times New Roman" w:hAnsi="Times New Roman"/>
          <w:b/>
          <w:bCs/>
          <w:color w:val="0000FF"/>
          <w:sz w:val="24"/>
          <w:highlight w:val="none"/>
          <w:lang w:bidi="th-TH"/>
        </w:rPr>
        <w:t>规划</w:t>
      </w:r>
      <w:r>
        <w:rPr>
          <w:rFonts w:hint="eastAsia" w:ascii="Times New Roman" w:hAnsi="Times New Roman"/>
          <w:b/>
          <w:bCs/>
          <w:color w:val="0000FF"/>
          <w:sz w:val="24"/>
          <w:highlight w:val="none"/>
          <w:lang w:val="en-US" w:eastAsia="zh-CN" w:bidi="th-TH"/>
        </w:rPr>
        <w:t>次</w:t>
      </w:r>
      <w:r>
        <w:rPr>
          <w:rFonts w:hint="eastAsia" w:ascii="Times New Roman" w:hAnsi="Times New Roman"/>
          <w:b/>
          <w:bCs/>
          <w:color w:val="0000FF"/>
          <w:sz w:val="24"/>
          <w:highlight w:val="none"/>
          <w:lang w:bidi="th-TH"/>
        </w:rPr>
        <w:t>高压管道</w:t>
      </w:r>
    </w:p>
    <w:tbl>
      <w:tblPr>
        <w:tblStyle w:val="28"/>
        <w:tblW w:w="5000" w:type="pct"/>
        <w:jc w:val="center"/>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538"/>
        <w:gridCol w:w="3487"/>
        <w:gridCol w:w="1268"/>
        <w:gridCol w:w="1105"/>
        <w:gridCol w:w="1164"/>
        <w:gridCol w:w="1080"/>
        <w:gridCol w:w="1827"/>
      </w:tblGrid>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134" w:rightChars="-64"/>
              <w:jc w:val="both"/>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序号</w:t>
            </w:r>
          </w:p>
        </w:tc>
        <w:tc>
          <w:tcPr>
            <w:tcW w:w="166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起止点</w:t>
            </w:r>
          </w:p>
        </w:tc>
        <w:tc>
          <w:tcPr>
            <w:tcW w:w="60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设计压力（MPa）</w:t>
            </w:r>
          </w:p>
        </w:tc>
        <w:tc>
          <w:tcPr>
            <w:tcW w:w="52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管材</w:t>
            </w:r>
          </w:p>
        </w:tc>
        <w:tc>
          <w:tcPr>
            <w:tcW w:w="55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管径（mm）</w:t>
            </w:r>
          </w:p>
        </w:tc>
        <w:tc>
          <w:tcPr>
            <w:tcW w:w="5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长度（km）</w:t>
            </w:r>
          </w:p>
        </w:tc>
        <w:tc>
          <w:tcPr>
            <w:tcW w:w="87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建设时间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1</w:t>
            </w:r>
          </w:p>
        </w:tc>
        <w:tc>
          <w:tcPr>
            <w:tcW w:w="166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szCs w:val="22"/>
                <w:highlight w:val="none"/>
              </w:rPr>
            </w:pPr>
            <w:r>
              <w:rPr>
                <w:rFonts w:hint="eastAsia" w:ascii="Times New Roman" w:hAnsi="Times New Roman" w:cs="Times New Roman"/>
                <w:bCs/>
                <w:color w:val="auto"/>
                <w:kern w:val="2"/>
                <w:sz w:val="24"/>
                <w:szCs w:val="22"/>
                <w:highlight w:val="none"/>
                <w:lang w:val="en-US" w:eastAsia="zh-CN" w:bidi="ar-SA"/>
              </w:rPr>
              <w:t>光伏规划路（经三街-规划高中压调压站）</w:t>
            </w:r>
          </w:p>
        </w:tc>
        <w:tc>
          <w:tcPr>
            <w:tcW w:w="60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1.6</w:t>
            </w:r>
          </w:p>
        </w:tc>
        <w:tc>
          <w:tcPr>
            <w:tcW w:w="52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钢管</w:t>
            </w:r>
          </w:p>
        </w:tc>
        <w:tc>
          <w:tcPr>
            <w:tcW w:w="55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DN200</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highlight w:val="none"/>
              </w:rPr>
            </w:pPr>
            <w:r>
              <w:rPr>
                <w:rFonts w:hint="eastAsia" w:ascii="Times New Roman" w:hAnsi="Times New Roman" w:cs="Times New Roman"/>
                <w:bCs/>
                <w:color w:val="auto"/>
                <w:kern w:val="2"/>
                <w:sz w:val="24"/>
                <w:szCs w:val="24"/>
                <w:highlight w:val="none"/>
                <w:lang w:val="en-US" w:eastAsia="zh-CN" w:bidi="ar-SA"/>
              </w:rPr>
              <w:t>2.10</w:t>
            </w:r>
          </w:p>
        </w:tc>
        <w:tc>
          <w:tcPr>
            <w:tcW w:w="182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0000FF"/>
                <w:sz w:val="24"/>
                <w:highlight w:val="none"/>
                <w:lang w:val="en-US" w:eastAsia="zh-CN"/>
              </w:rPr>
              <w:t>2026-2030年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2</w:t>
            </w:r>
          </w:p>
        </w:tc>
        <w:tc>
          <w:tcPr>
            <w:tcW w:w="166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4"/>
                <w:szCs w:val="22"/>
                <w:highlight w:val="none"/>
                <w:lang w:val="en-US" w:eastAsia="zh-CN"/>
              </w:rPr>
            </w:pPr>
            <w:r>
              <w:rPr>
                <w:rFonts w:hint="eastAsia" w:ascii="Times New Roman" w:hAnsi="Times New Roman" w:cs="Times New Roman"/>
                <w:bCs/>
                <w:color w:val="auto"/>
                <w:kern w:val="2"/>
                <w:sz w:val="24"/>
                <w:szCs w:val="22"/>
                <w:highlight w:val="none"/>
                <w:lang w:val="en-US" w:eastAsia="zh-CN" w:bidi="ar-SA"/>
              </w:rPr>
              <w:t>经三街（光伏规划路-纬三路）</w:t>
            </w:r>
          </w:p>
        </w:tc>
        <w:tc>
          <w:tcPr>
            <w:tcW w:w="60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1.6</w:t>
            </w:r>
          </w:p>
        </w:tc>
        <w:tc>
          <w:tcPr>
            <w:tcW w:w="52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钢管</w:t>
            </w:r>
          </w:p>
        </w:tc>
        <w:tc>
          <w:tcPr>
            <w:tcW w:w="55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DN200</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kern w:val="2"/>
                <w:sz w:val="24"/>
                <w:szCs w:val="24"/>
                <w:highlight w:val="none"/>
                <w:lang w:val="en-US" w:eastAsia="zh-CN" w:bidi="ar-SA"/>
              </w:rPr>
              <w:t>0.60</w:t>
            </w:r>
          </w:p>
        </w:tc>
        <w:tc>
          <w:tcPr>
            <w:tcW w:w="182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0000FF"/>
                <w:sz w:val="24"/>
                <w:highlight w:val="none"/>
                <w:lang w:val="en-US" w:eastAsia="zh-CN"/>
              </w:rPr>
              <w:t>2026-2030年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3</w:t>
            </w:r>
          </w:p>
        </w:tc>
        <w:tc>
          <w:tcPr>
            <w:tcW w:w="166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szCs w:val="22"/>
                <w:highlight w:val="none"/>
              </w:rPr>
            </w:pPr>
            <w:r>
              <w:rPr>
                <w:rFonts w:hint="eastAsia" w:ascii="Times New Roman" w:hAnsi="Times New Roman" w:cs="Times New Roman"/>
                <w:bCs/>
                <w:color w:val="auto"/>
                <w:sz w:val="24"/>
                <w:szCs w:val="22"/>
                <w:highlight w:val="none"/>
                <w:lang w:val="en-US" w:eastAsia="zh-CN"/>
              </w:rPr>
              <w:t>经八街-穿河-东延-齐隆路与经十一街南段交接</w:t>
            </w:r>
          </w:p>
        </w:tc>
        <w:tc>
          <w:tcPr>
            <w:tcW w:w="60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1.6</w:t>
            </w:r>
          </w:p>
        </w:tc>
        <w:tc>
          <w:tcPr>
            <w:tcW w:w="52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钢管</w:t>
            </w:r>
          </w:p>
        </w:tc>
        <w:tc>
          <w:tcPr>
            <w:tcW w:w="55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DN200</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2.20</w:t>
            </w:r>
          </w:p>
        </w:tc>
        <w:tc>
          <w:tcPr>
            <w:tcW w:w="182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2026-2030年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4</w:t>
            </w:r>
          </w:p>
        </w:tc>
        <w:tc>
          <w:tcPr>
            <w:tcW w:w="166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szCs w:val="22"/>
                <w:highlight w:val="none"/>
              </w:rPr>
            </w:pPr>
            <w:r>
              <w:rPr>
                <w:rFonts w:hint="eastAsia" w:ascii="Times New Roman" w:hAnsi="Times New Roman" w:cs="Times New Roman"/>
                <w:bCs/>
                <w:color w:val="auto"/>
                <w:sz w:val="24"/>
                <w:szCs w:val="22"/>
                <w:highlight w:val="none"/>
                <w:lang w:val="en-US" w:eastAsia="zh-CN"/>
              </w:rPr>
              <w:t>齐隆西街北延</w:t>
            </w:r>
          </w:p>
        </w:tc>
        <w:tc>
          <w:tcPr>
            <w:tcW w:w="60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1.6</w:t>
            </w:r>
          </w:p>
        </w:tc>
        <w:tc>
          <w:tcPr>
            <w:tcW w:w="52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钢管</w:t>
            </w:r>
          </w:p>
        </w:tc>
        <w:tc>
          <w:tcPr>
            <w:tcW w:w="55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DN200</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1.60</w:t>
            </w:r>
          </w:p>
        </w:tc>
        <w:tc>
          <w:tcPr>
            <w:tcW w:w="182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2026-2030年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5</w:t>
            </w:r>
          </w:p>
        </w:tc>
        <w:tc>
          <w:tcPr>
            <w:tcW w:w="166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szCs w:val="22"/>
                <w:highlight w:val="none"/>
              </w:rPr>
            </w:pPr>
            <w:r>
              <w:rPr>
                <w:rFonts w:hint="eastAsia" w:ascii="Times New Roman" w:hAnsi="Times New Roman" w:cs="Times New Roman"/>
                <w:bCs/>
                <w:color w:val="auto"/>
                <w:sz w:val="24"/>
                <w:szCs w:val="22"/>
                <w:highlight w:val="none"/>
                <w:lang w:val="en-US" w:eastAsia="zh-CN"/>
              </w:rPr>
              <w:t>再生园规划二路</w:t>
            </w:r>
          </w:p>
        </w:tc>
        <w:tc>
          <w:tcPr>
            <w:tcW w:w="60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1.6</w:t>
            </w:r>
          </w:p>
        </w:tc>
        <w:tc>
          <w:tcPr>
            <w:tcW w:w="52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钢管</w:t>
            </w:r>
          </w:p>
        </w:tc>
        <w:tc>
          <w:tcPr>
            <w:tcW w:w="55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DN200</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0.15</w:t>
            </w:r>
          </w:p>
        </w:tc>
        <w:tc>
          <w:tcPr>
            <w:tcW w:w="182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2026-2030年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6</w:t>
            </w:r>
          </w:p>
        </w:tc>
        <w:tc>
          <w:tcPr>
            <w:tcW w:w="166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szCs w:val="22"/>
                <w:highlight w:val="none"/>
              </w:rPr>
            </w:pPr>
            <w:r>
              <w:rPr>
                <w:rFonts w:hint="eastAsia" w:ascii="Times New Roman" w:hAnsi="Times New Roman" w:cs="Times New Roman"/>
                <w:bCs/>
                <w:color w:val="auto"/>
                <w:sz w:val="24"/>
                <w:szCs w:val="22"/>
                <w:highlight w:val="none"/>
                <w:lang w:val="en-US" w:eastAsia="zh-CN"/>
              </w:rPr>
              <w:t>再生园规划三路</w:t>
            </w:r>
          </w:p>
        </w:tc>
        <w:tc>
          <w:tcPr>
            <w:tcW w:w="60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1.6</w:t>
            </w:r>
          </w:p>
        </w:tc>
        <w:tc>
          <w:tcPr>
            <w:tcW w:w="52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钢管</w:t>
            </w:r>
          </w:p>
        </w:tc>
        <w:tc>
          <w:tcPr>
            <w:tcW w:w="55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DN200</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0.25</w:t>
            </w:r>
          </w:p>
        </w:tc>
        <w:tc>
          <w:tcPr>
            <w:tcW w:w="182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2026-2030年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7</w:t>
            </w:r>
          </w:p>
        </w:tc>
        <w:tc>
          <w:tcPr>
            <w:tcW w:w="166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szCs w:val="22"/>
                <w:highlight w:val="none"/>
              </w:rPr>
            </w:pPr>
            <w:r>
              <w:rPr>
                <w:rFonts w:hint="eastAsia" w:ascii="Times New Roman" w:hAnsi="Times New Roman" w:cs="Times New Roman"/>
                <w:bCs/>
                <w:color w:val="auto"/>
                <w:sz w:val="24"/>
                <w:szCs w:val="22"/>
                <w:highlight w:val="none"/>
                <w:lang w:val="en-US" w:eastAsia="zh-CN"/>
              </w:rPr>
              <w:t>经十一街再生园段（四道岭路-再生园一街）</w:t>
            </w:r>
          </w:p>
        </w:tc>
        <w:tc>
          <w:tcPr>
            <w:tcW w:w="60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1.6</w:t>
            </w:r>
          </w:p>
        </w:tc>
        <w:tc>
          <w:tcPr>
            <w:tcW w:w="52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钢管</w:t>
            </w:r>
          </w:p>
        </w:tc>
        <w:tc>
          <w:tcPr>
            <w:tcW w:w="55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DN200</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1.70</w:t>
            </w:r>
          </w:p>
        </w:tc>
        <w:tc>
          <w:tcPr>
            <w:tcW w:w="182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2026-2030年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8</w:t>
            </w:r>
          </w:p>
        </w:tc>
        <w:tc>
          <w:tcPr>
            <w:tcW w:w="166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szCs w:val="22"/>
                <w:highlight w:val="none"/>
              </w:rPr>
            </w:pPr>
            <w:r>
              <w:rPr>
                <w:rFonts w:hint="eastAsia" w:ascii="宋体" w:hAnsi="宋体" w:eastAsia="宋体" w:cs="宋体"/>
                <w:i w:val="0"/>
                <w:iCs w:val="0"/>
                <w:color w:val="auto"/>
                <w:kern w:val="0"/>
                <w:sz w:val="24"/>
                <w:szCs w:val="24"/>
                <w:highlight w:val="none"/>
                <w:u w:val="none"/>
                <w:lang w:val="en-US" w:eastAsia="zh-CN" w:bidi="ar"/>
              </w:rPr>
              <w:t>再生园一街（经十一街再生园段-四道岭路）</w:t>
            </w:r>
          </w:p>
        </w:tc>
        <w:tc>
          <w:tcPr>
            <w:tcW w:w="60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1.6</w:t>
            </w:r>
          </w:p>
        </w:tc>
        <w:tc>
          <w:tcPr>
            <w:tcW w:w="52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钢管</w:t>
            </w:r>
          </w:p>
        </w:tc>
        <w:tc>
          <w:tcPr>
            <w:tcW w:w="55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DN200</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highlight w:val="none"/>
              </w:rPr>
            </w:pPr>
            <w:r>
              <w:rPr>
                <w:rFonts w:hint="eastAsia" w:ascii="Times New Roman" w:hAnsi="Times New Roman" w:eastAsia="宋体" w:cs="Times New Roman"/>
                <w:i w:val="0"/>
                <w:iCs w:val="0"/>
                <w:color w:val="auto"/>
                <w:kern w:val="0"/>
                <w:sz w:val="24"/>
                <w:szCs w:val="24"/>
                <w:highlight w:val="none"/>
                <w:u w:val="none"/>
                <w:lang w:val="en-US" w:eastAsia="zh-CN" w:bidi="ar"/>
              </w:rPr>
              <w:t>2.20</w:t>
            </w:r>
          </w:p>
        </w:tc>
        <w:tc>
          <w:tcPr>
            <w:tcW w:w="182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2026-2030年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9</w:t>
            </w:r>
          </w:p>
        </w:tc>
        <w:tc>
          <w:tcPr>
            <w:tcW w:w="166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szCs w:val="22"/>
                <w:highlight w:val="none"/>
              </w:rPr>
            </w:pPr>
            <w:r>
              <w:rPr>
                <w:rFonts w:hint="eastAsia" w:ascii="Times New Roman" w:hAnsi="Times New Roman" w:cs="Times New Roman"/>
                <w:bCs/>
                <w:color w:val="auto"/>
                <w:sz w:val="24"/>
                <w:szCs w:val="22"/>
                <w:highlight w:val="none"/>
                <w:lang w:val="en-US" w:eastAsia="zh-CN"/>
              </w:rPr>
              <w:t>再生园一号路</w:t>
            </w:r>
          </w:p>
        </w:tc>
        <w:tc>
          <w:tcPr>
            <w:tcW w:w="60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1.6</w:t>
            </w:r>
          </w:p>
        </w:tc>
        <w:tc>
          <w:tcPr>
            <w:tcW w:w="52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钢管</w:t>
            </w:r>
          </w:p>
        </w:tc>
        <w:tc>
          <w:tcPr>
            <w:tcW w:w="55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DN200</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0.20</w:t>
            </w:r>
          </w:p>
        </w:tc>
        <w:tc>
          <w:tcPr>
            <w:tcW w:w="182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2026-2030年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10</w:t>
            </w:r>
          </w:p>
        </w:tc>
        <w:tc>
          <w:tcPr>
            <w:tcW w:w="166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szCs w:val="22"/>
                <w:highlight w:val="none"/>
              </w:rPr>
            </w:pPr>
            <w:r>
              <w:rPr>
                <w:rFonts w:hint="eastAsia" w:ascii="Times New Roman" w:hAnsi="Times New Roman" w:cs="Times New Roman"/>
                <w:bCs/>
                <w:color w:val="auto"/>
                <w:sz w:val="24"/>
                <w:szCs w:val="22"/>
                <w:highlight w:val="none"/>
                <w:lang w:val="en-US" w:eastAsia="zh-CN"/>
              </w:rPr>
              <w:t>再生园三号路</w:t>
            </w:r>
          </w:p>
        </w:tc>
        <w:tc>
          <w:tcPr>
            <w:tcW w:w="60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1.6</w:t>
            </w:r>
          </w:p>
        </w:tc>
        <w:tc>
          <w:tcPr>
            <w:tcW w:w="52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钢管</w:t>
            </w:r>
          </w:p>
        </w:tc>
        <w:tc>
          <w:tcPr>
            <w:tcW w:w="55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DN200</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0.20</w:t>
            </w:r>
          </w:p>
        </w:tc>
        <w:tc>
          <w:tcPr>
            <w:tcW w:w="182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2026-2030年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11</w:t>
            </w:r>
          </w:p>
        </w:tc>
        <w:tc>
          <w:tcPr>
            <w:tcW w:w="166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szCs w:val="22"/>
                <w:highlight w:val="none"/>
              </w:rPr>
            </w:pPr>
            <w:r>
              <w:rPr>
                <w:rFonts w:hint="eastAsia" w:ascii="Times New Roman" w:hAnsi="Times New Roman" w:cs="Times New Roman"/>
                <w:bCs/>
                <w:color w:val="auto"/>
                <w:sz w:val="24"/>
                <w:szCs w:val="22"/>
                <w:highlight w:val="none"/>
                <w:lang w:val="en-US" w:eastAsia="zh-CN"/>
              </w:rPr>
              <w:t>东科街（金洋线-辽中环线高速下）</w:t>
            </w:r>
          </w:p>
        </w:tc>
        <w:tc>
          <w:tcPr>
            <w:tcW w:w="60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1.6</w:t>
            </w:r>
          </w:p>
        </w:tc>
        <w:tc>
          <w:tcPr>
            <w:tcW w:w="52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钢管</w:t>
            </w:r>
          </w:p>
        </w:tc>
        <w:tc>
          <w:tcPr>
            <w:tcW w:w="55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DN200</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1.50</w:t>
            </w:r>
          </w:p>
        </w:tc>
        <w:tc>
          <w:tcPr>
            <w:tcW w:w="182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2026-2030年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14</w:t>
            </w:r>
          </w:p>
        </w:tc>
        <w:tc>
          <w:tcPr>
            <w:tcW w:w="166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Times New Roman" w:hAnsi="Times New Roman" w:cs="Times New Roman"/>
                <w:bCs/>
                <w:color w:val="auto"/>
                <w:sz w:val="24"/>
                <w:szCs w:val="22"/>
                <w:highlight w:val="none"/>
                <w:lang w:val="en-US" w:eastAsia="zh-CN"/>
              </w:rPr>
              <w:t>兰山二路</w:t>
            </w:r>
          </w:p>
        </w:tc>
        <w:tc>
          <w:tcPr>
            <w:tcW w:w="60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1.6</w:t>
            </w:r>
          </w:p>
        </w:tc>
        <w:tc>
          <w:tcPr>
            <w:tcW w:w="52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钢管</w:t>
            </w:r>
          </w:p>
        </w:tc>
        <w:tc>
          <w:tcPr>
            <w:tcW w:w="55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DN200</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cs="Times New Roman"/>
                <w:bCs/>
                <w:color w:val="auto"/>
                <w:sz w:val="24"/>
                <w:highlight w:val="none"/>
                <w:lang w:val="en-US" w:eastAsia="zh-CN"/>
              </w:rPr>
              <w:t>2.00</w:t>
            </w:r>
          </w:p>
        </w:tc>
        <w:tc>
          <w:tcPr>
            <w:tcW w:w="182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0000FF"/>
                <w:sz w:val="24"/>
                <w:highlight w:val="none"/>
                <w:lang w:val="en-US" w:eastAsia="zh-CN"/>
              </w:rPr>
              <w:t>2026-2030年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15</w:t>
            </w:r>
          </w:p>
        </w:tc>
        <w:tc>
          <w:tcPr>
            <w:tcW w:w="166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Times New Roman" w:hAnsi="Times New Roman" w:cs="Times New Roman"/>
                <w:bCs/>
                <w:color w:val="auto"/>
                <w:sz w:val="24"/>
                <w:szCs w:val="22"/>
                <w:highlight w:val="none"/>
                <w:lang w:val="en-US" w:eastAsia="zh-CN"/>
              </w:rPr>
              <w:t>兰山三路</w:t>
            </w:r>
          </w:p>
        </w:tc>
        <w:tc>
          <w:tcPr>
            <w:tcW w:w="60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1.6</w:t>
            </w:r>
          </w:p>
        </w:tc>
        <w:tc>
          <w:tcPr>
            <w:tcW w:w="52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钢管</w:t>
            </w:r>
          </w:p>
        </w:tc>
        <w:tc>
          <w:tcPr>
            <w:tcW w:w="55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DN200</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cs="Times New Roman"/>
                <w:bCs/>
                <w:color w:val="auto"/>
                <w:sz w:val="24"/>
                <w:highlight w:val="none"/>
                <w:lang w:val="en-US" w:eastAsia="zh-CN"/>
              </w:rPr>
              <w:t>0.80</w:t>
            </w:r>
          </w:p>
        </w:tc>
        <w:tc>
          <w:tcPr>
            <w:tcW w:w="182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0000FF"/>
                <w:sz w:val="24"/>
                <w:highlight w:val="none"/>
                <w:lang w:val="en-US" w:eastAsia="zh-CN"/>
              </w:rPr>
              <w:t>2026-2030年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16</w:t>
            </w:r>
          </w:p>
        </w:tc>
        <w:tc>
          <w:tcPr>
            <w:tcW w:w="166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Times New Roman" w:hAnsi="Times New Roman" w:cs="Times New Roman"/>
                <w:bCs/>
                <w:color w:val="auto"/>
                <w:sz w:val="24"/>
                <w:szCs w:val="22"/>
                <w:highlight w:val="none"/>
                <w:lang w:val="en-US" w:eastAsia="zh-CN"/>
              </w:rPr>
              <w:t>关家沟路（金洋线-关家沟路南延至开发边界）</w:t>
            </w:r>
          </w:p>
        </w:tc>
        <w:tc>
          <w:tcPr>
            <w:tcW w:w="60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1.6</w:t>
            </w:r>
          </w:p>
        </w:tc>
        <w:tc>
          <w:tcPr>
            <w:tcW w:w="52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钢管</w:t>
            </w:r>
          </w:p>
        </w:tc>
        <w:tc>
          <w:tcPr>
            <w:tcW w:w="55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DN200</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cs="Times New Roman"/>
                <w:bCs/>
                <w:color w:val="auto"/>
                <w:sz w:val="24"/>
                <w:highlight w:val="none"/>
                <w:lang w:val="en-US" w:eastAsia="zh-CN"/>
              </w:rPr>
              <w:t>2.20</w:t>
            </w:r>
          </w:p>
        </w:tc>
        <w:tc>
          <w:tcPr>
            <w:tcW w:w="182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bCs/>
                <w:color w:val="auto"/>
                <w:sz w:val="24"/>
                <w:highlight w:val="none"/>
                <w:lang w:val="en-US" w:eastAsia="zh-CN"/>
              </w:rPr>
            </w:pPr>
            <w:r>
              <w:rPr>
                <w:rFonts w:hint="eastAsia" w:ascii="Times New Roman" w:hAnsi="Times New Roman" w:cs="Times New Roman"/>
                <w:bCs/>
                <w:color w:val="0000FF"/>
                <w:sz w:val="24"/>
                <w:highlight w:val="none"/>
                <w:lang w:val="en-US" w:eastAsia="zh-CN"/>
              </w:rPr>
              <w:t>2026-2030年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610" w:type="pct"/>
            <w:gridSpan w:val="5"/>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eastAsiaTheme="minorEastAsia"/>
                <w:b/>
                <w:bCs w:val="0"/>
                <w:color w:val="auto"/>
                <w:sz w:val="24"/>
                <w:highlight w:val="none"/>
                <w:lang w:val="en-US" w:eastAsia="zh-CN"/>
              </w:rPr>
            </w:pPr>
            <w:r>
              <w:rPr>
                <w:rFonts w:hint="eastAsia" w:ascii="Times New Roman" w:hAnsi="Times New Roman" w:cs="Times New Roman"/>
                <w:b/>
                <w:bCs w:val="0"/>
                <w:color w:val="auto"/>
                <w:sz w:val="24"/>
                <w:highlight w:val="none"/>
                <w:lang w:val="en-US" w:eastAsia="zh-CN"/>
              </w:rPr>
              <w:t>合  计</w:t>
            </w:r>
          </w:p>
        </w:tc>
        <w:tc>
          <w:tcPr>
            <w:tcW w:w="51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
                <w:bCs w:val="0"/>
                <w:color w:val="0000FF"/>
                <w:sz w:val="24"/>
                <w:highlight w:val="none"/>
                <w:lang w:val="en-US" w:eastAsia="zh-CN"/>
              </w:rPr>
            </w:pPr>
            <w:r>
              <w:rPr>
                <w:rFonts w:hint="eastAsia" w:ascii="Times New Roman" w:hAnsi="Times New Roman" w:cs="Times New Roman"/>
                <w:b/>
                <w:bCs w:val="0"/>
                <w:color w:val="0000FF"/>
                <w:sz w:val="24"/>
                <w:highlight w:val="none"/>
                <w:lang w:val="en-US" w:eastAsia="zh-CN"/>
              </w:rPr>
              <w:t>17.70</w:t>
            </w:r>
          </w:p>
        </w:tc>
        <w:tc>
          <w:tcPr>
            <w:tcW w:w="87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
                <w:bCs w:val="0"/>
                <w:color w:val="0000FF"/>
                <w:sz w:val="24"/>
                <w:highlight w:val="none"/>
              </w:rPr>
            </w:pPr>
            <w:r>
              <w:rPr>
                <w:rFonts w:hint="eastAsia" w:ascii="Times New Roman" w:hAnsi="Times New Roman" w:cs="Times New Roman"/>
                <w:b/>
                <w:bCs w:val="0"/>
                <w:color w:val="0000FF"/>
                <w:sz w:val="24"/>
                <w:highlight w:val="none"/>
                <w:lang w:val="en-US" w:eastAsia="zh-CN"/>
              </w:rPr>
              <w:t>2026-2030年</w:t>
            </w:r>
          </w:p>
        </w:tc>
      </w:tr>
    </w:tbl>
    <w:p>
      <w:pPr>
        <w:bidi w:val="0"/>
        <w:rPr>
          <w:rFonts w:hint="default"/>
          <w:color w:val="auto"/>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b/>
          <w:bCs/>
          <w:color w:val="auto"/>
          <w:sz w:val="24"/>
          <w:highlight w:val="none"/>
          <w:lang w:bidi="th-TH"/>
        </w:rPr>
      </w:pPr>
      <w:r>
        <w:rPr>
          <w:rFonts w:ascii="Times New Roman" w:hAnsi="Times New Roman"/>
          <w:b/>
          <w:bCs/>
          <w:color w:val="auto"/>
          <w:sz w:val="24"/>
          <w:highlight w:val="none"/>
          <w:lang w:bidi="th-TH"/>
        </w:rPr>
        <w:t>表4-</w:t>
      </w:r>
      <w:r>
        <w:rPr>
          <w:rFonts w:hint="eastAsia" w:ascii="Times New Roman" w:hAnsi="Times New Roman"/>
          <w:b/>
          <w:bCs/>
          <w:color w:val="auto"/>
          <w:sz w:val="24"/>
          <w:highlight w:val="none"/>
          <w:lang w:val="en-US" w:eastAsia="zh-CN" w:bidi="th-TH"/>
        </w:rPr>
        <w:t>3</w:t>
      </w:r>
      <w:r>
        <w:rPr>
          <w:rFonts w:ascii="Times New Roman" w:hAnsi="Times New Roman"/>
          <w:b/>
          <w:bCs/>
          <w:color w:val="auto"/>
          <w:sz w:val="24"/>
          <w:highlight w:val="none"/>
          <w:lang w:bidi="th-TH"/>
        </w:rPr>
        <w:t xml:space="preserve"> </w:t>
      </w:r>
      <w:r>
        <w:rPr>
          <w:rFonts w:hint="eastAsia" w:ascii="Times New Roman" w:hAnsi="Times New Roman"/>
          <w:b/>
          <w:bCs/>
          <w:color w:val="auto"/>
          <w:sz w:val="24"/>
          <w:highlight w:val="none"/>
          <w:lang w:val="en-US" w:eastAsia="zh-CN" w:bidi="th-TH"/>
        </w:rPr>
        <w:t xml:space="preserve"> </w:t>
      </w:r>
      <w:r>
        <w:rPr>
          <w:rFonts w:hint="eastAsia" w:ascii="Times New Roman" w:hAnsi="Times New Roman"/>
          <w:b/>
          <w:bCs/>
          <w:color w:val="0000FF"/>
          <w:sz w:val="24"/>
          <w:highlight w:val="none"/>
          <w:lang w:val="en-US" w:eastAsia="zh-CN" w:bidi="th-TH"/>
        </w:rPr>
        <w:t>2031-2035年</w:t>
      </w:r>
      <w:r>
        <w:rPr>
          <w:rFonts w:hint="eastAsia" w:ascii="Times New Roman" w:hAnsi="Times New Roman"/>
          <w:b/>
          <w:bCs/>
          <w:color w:val="0000FF"/>
          <w:sz w:val="24"/>
          <w:highlight w:val="none"/>
          <w:lang w:bidi="th-TH"/>
        </w:rPr>
        <w:t>规划</w:t>
      </w:r>
      <w:r>
        <w:rPr>
          <w:rFonts w:hint="eastAsia" w:ascii="Times New Roman" w:hAnsi="Times New Roman"/>
          <w:b/>
          <w:bCs/>
          <w:color w:val="0000FF"/>
          <w:sz w:val="24"/>
          <w:highlight w:val="none"/>
          <w:lang w:val="en-US" w:eastAsia="zh-CN" w:bidi="th-TH"/>
        </w:rPr>
        <w:t>次</w:t>
      </w:r>
      <w:r>
        <w:rPr>
          <w:rFonts w:hint="eastAsia" w:ascii="Times New Roman" w:hAnsi="Times New Roman"/>
          <w:b/>
          <w:bCs/>
          <w:color w:val="0000FF"/>
          <w:sz w:val="24"/>
          <w:highlight w:val="none"/>
          <w:lang w:bidi="th-TH"/>
        </w:rPr>
        <w:t>高压管道</w:t>
      </w:r>
    </w:p>
    <w:tbl>
      <w:tblPr>
        <w:tblStyle w:val="28"/>
        <w:tblW w:w="5000" w:type="pct"/>
        <w:jc w:val="center"/>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538"/>
        <w:gridCol w:w="3487"/>
        <w:gridCol w:w="1268"/>
        <w:gridCol w:w="1105"/>
        <w:gridCol w:w="1164"/>
        <w:gridCol w:w="1080"/>
        <w:gridCol w:w="1827"/>
      </w:tblGrid>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134" w:rightChars="-64"/>
              <w:jc w:val="both"/>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序号</w:t>
            </w:r>
          </w:p>
        </w:tc>
        <w:tc>
          <w:tcPr>
            <w:tcW w:w="166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起止点</w:t>
            </w:r>
          </w:p>
        </w:tc>
        <w:tc>
          <w:tcPr>
            <w:tcW w:w="60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设计压力（MPa）</w:t>
            </w:r>
          </w:p>
        </w:tc>
        <w:tc>
          <w:tcPr>
            <w:tcW w:w="52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管材</w:t>
            </w:r>
          </w:p>
        </w:tc>
        <w:tc>
          <w:tcPr>
            <w:tcW w:w="55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管径（mm）</w:t>
            </w:r>
          </w:p>
        </w:tc>
        <w:tc>
          <w:tcPr>
            <w:tcW w:w="5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长度（km）</w:t>
            </w:r>
          </w:p>
        </w:tc>
        <w:tc>
          <w:tcPr>
            <w:tcW w:w="87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建设时间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1</w:t>
            </w:r>
          </w:p>
        </w:tc>
        <w:tc>
          <w:tcPr>
            <w:tcW w:w="166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szCs w:val="22"/>
                <w:highlight w:val="none"/>
              </w:rPr>
            </w:pPr>
            <w:r>
              <w:rPr>
                <w:rFonts w:hint="eastAsia" w:ascii="Times New Roman" w:hAnsi="Times New Roman" w:cs="Times New Roman"/>
                <w:bCs/>
                <w:color w:val="0000FF"/>
                <w:sz w:val="24"/>
                <w:szCs w:val="22"/>
                <w:highlight w:val="none"/>
                <w:lang w:val="en-US" w:eastAsia="zh-CN"/>
              </w:rPr>
              <w:t>兰山小一路</w:t>
            </w:r>
          </w:p>
        </w:tc>
        <w:tc>
          <w:tcPr>
            <w:tcW w:w="60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0000FF"/>
                <w:sz w:val="24"/>
                <w:highlight w:val="none"/>
                <w:lang w:val="en-US" w:eastAsia="zh-CN"/>
              </w:rPr>
              <w:t>1.6</w:t>
            </w:r>
          </w:p>
        </w:tc>
        <w:tc>
          <w:tcPr>
            <w:tcW w:w="52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钢管</w:t>
            </w:r>
          </w:p>
        </w:tc>
        <w:tc>
          <w:tcPr>
            <w:tcW w:w="55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DN200</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0.30</w:t>
            </w:r>
          </w:p>
        </w:tc>
        <w:tc>
          <w:tcPr>
            <w:tcW w:w="87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0000FF"/>
                <w:sz w:val="24"/>
                <w:highlight w:val="none"/>
                <w:lang w:val="en-US" w:eastAsia="zh-CN"/>
              </w:rPr>
              <w:t>2031-2035年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2</w:t>
            </w:r>
          </w:p>
        </w:tc>
        <w:tc>
          <w:tcPr>
            <w:tcW w:w="166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4"/>
                <w:szCs w:val="22"/>
                <w:highlight w:val="none"/>
                <w:lang w:val="en-US" w:eastAsia="zh-CN"/>
              </w:rPr>
            </w:pPr>
            <w:r>
              <w:rPr>
                <w:rFonts w:hint="eastAsia" w:ascii="Times New Roman" w:hAnsi="Times New Roman" w:cs="Times New Roman"/>
                <w:bCs/>
                <w:color w:val="0000FF"/>
                <w:sz w:val="24"/>
                <w:szCs w:val="22"/>
                <w:highlight w:val="none"/>
                <w:lang w:val="en-US" w:eastAsia="zh-CN"/>
              </w:rPr>
              <w:t>兰山小二路</w:t>
            </w:r>
          </w:p>
        </w:tc>
        <w:tc>
          <w:tcPr>
            <w:tcW w:w="60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1.6</w:t>
            </w:r>
          </w:p>
        </w:tc>
        <w:tc>
          <w:tcPr>
            <w:tcW w:w="52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钢管</w:t>
            </w:r>
          </w:p>
        </w:tc>
        <w:tc>
          <w:tcPr>
            <w:tcW w:w="55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DN200</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0000FF"/>
                <w:sz w:val="24"/>
                <w:highlight w:val="none"/>
                <w:lang w:val="en-US" w:eastAsia="zh-CN"/>
              </w:rPr>
              <w:t>0.40</w:t>
            </w:r>
          </w:p>
        </w:tc>
        <w:tc>
          <w:tcPr>
            <w:tcW w:w="87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0000FF"/>
                <w:sz w:val="24"/>
                <w:highlight w:val="none"/>
                <w:lang w:val="en-US" w:eastAsia="zh-CN"/>
              </w:rPr>
              <w:t>2031-2035年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auto"/>
                <w:sz w:val="24"/>
                <w:highlight w:val="none"/>
                <w:lang w:val="en-US" w:eastAsia="zh-CN"/>
              </w:rPr>
              <w:t>3</w:t>
            </w:r>
          </w:p>
        </w:tc>
        <w:tc>
          <w:tcPr>
            <w:tcW w:w="166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 w:val="24"/>
                <w:szCs w:val="22"/>
                <w:highlight w:val="none"/>
              </w:rPr>
            </w:pPr>
            <w:r>
              <w:rPr>
                <w:rFonts w:hint="eastAsia" w:ascii="Times New Roman" w:hAnsi="Times New Roman" w:cs="Times New Roman"/>
                <w:bCs/>
                <w:color w:val="0000FF"/>
                <w:sz w:val="24"/>
                <w:szCs w:val="22"/>
                <w:highlight w:val="none"/>
                <w:lang w:val="en-US" w:eastAsia="zh-CN"/>
              </w:rPr>
              <w:t>星环路支路-开发边界</w:t>
            </w:r>
          </w:p>
        </w:tc>
        <w:tc>
          <w:tcPr>
            <w:tcW w:w="60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1.6</w:t>
            </w:r>
          </w:p>
        </w:tc>
        <w:tc>
          <w:tcPr>
            <w:tcW w:w="52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钢管</w:t>
            </w:r>
          </w:p>
        </w:tc>
        <w:tc>
          <w:tcPr>
            <w:tcW w:w="55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DN200</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4"/>
                <w:highlight w:val="none"/>
                <w:lang w:val="en-US" w:eastAsia="zh-CN"/>
              </w:rPr>
            </w:pPr>
            <w:r>
              <w:rPr>
                <w:rFonts w:hint="eastAsia" w:ascii="Times New Roman" w:hAnsi="Times New Roman" w:cs="Times New Roman"/>
                <w:bCs/>
                <w:color w:val="0000FF"/>
                <w:sz w:val="24"/>
                <w:highlight w:val="none"/>
                <w:lang w:val="en-US" w:eastAsia="zh-CN"/>
              </w:rPr>
              <w:t>0.70</w:t>
            </w:r>
          </w:p>
        </w:tc>
        <w:tc>
          <w:tcPr>
            <w:tcW w:w="87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0000FF"/>
                <w:sz w:val="24"/>
                <w:highlight w:val="none"/>
                <w:lang w:val="en-US" w:eastAsia="zh-CN"/>
              </w:rPr>
              <w:t>2031-2035年</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610" w:type="pct"/>
            <w:gridSpan w:val="5"/>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eastAsia" w:ascii="Times New Roman" w:hAnsi="Times New Roman" w:cs="Times New Roman" w:eastAsiaTheme="minorEastAsia"/>
                <w:b/>
                <w:bCs w:val="0"/>
                <w:color w:val="0000FF"/>
                <w:sz w:val="24"/>
                <w:highlight w:val="none"/>
                <w:lang w:val="en-US" w:eastAsia="zh-CN"/>
              </w:rPr>
            </w:pPr>
            <w:r>
              <w:rPr>
                <w:rFonts w:hint="eastAsia" w:ascii="Times New Roman" w:hAnsi="Times New Roman" w:cs="Times New Roman"/>
                <w:b/>
                <w:bCs w:val="0"/>
                <w:color w:val="0000FF"/>
                <w:sz w:val="24"/>
                <w:highlight w:val="none"/>
                <w:lang w:val="en-US" w:eastAsia="zh-CN"/>
              </w:rPr>
              <w:t>合  计</w:t>
            </w:r>
          </w:p>
        </w:tc>
        <w:tc>
          <w:tcPr>
            <w:tcW w:w="516"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eastAsiaTheme="minorEastAsia"/>
                <w:b/>
                <w:bCs w:val="0"/>
                <w:color w:val="0000FF"/>
                <w:sz w:val="24"/>
                <w:highlight w:val="none"/>
                <w:lang w:val="en-US" w:eastAsia="zh-CN"/>
              </w:rPr>
            </w:pPr>
            <w:r>
              <w:rPr>
                <w:rFonts w:hint="eastAsia" w:ascii="Times New Roman" w:hAnsi="Times New Roman" w:cs="Times New Roman"/>
                <w:b/>
                <w:bCs w:val="0"/>
                <w:color w:val="0000FF"/>
                <w:sz w:val="24"/>
                <w:highlight w:val="none"/>
                <w:lang w:val="en-US" w:eastAsia="zh-CN"/>
              </w:rPr>
              <w:t>1.40</w:t>
            </w:r>
          </w:p>
        </w:tc>
        <w:tc>
          <w:tcPr>
            <w:tcW w:w="87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s="Times New Roman"/>
                <w:b/>
                <w:bCs w:val="0"/>
                <w:color w:val="0000FF"/>
                <w:sz w:val="24"/>
                <w:highlight w:val="none"/>
              </w:rPr>
            </w:pPr>
            <w:r>
              <w:rPr>
                <w:rFonts w:hint="eastAsia" w:ascii="Times New Roman" w:hAnsi="Times New Roman" w:cs="Times New Roman"/>
                <w:b/>
                <w:bCs w:val="0"/>
                <w:color w:val="0000FF"/>
                <w:sz w:val="24"/>
                <w:highlight w:val="none"/>
                <w:lang w:val="en-US" w:eastAsia="zh-CN"/>
              </w:rPr>
              <w:t>2031-2035年</w:t>
            </w:r>
          </w:p>
        </w:tc>
      </w:tr>
    </w:tbl>
    <w:p>
      <w:pPr>
        <w:bidi w:val="0"/>
        <w:rPr>
          <w:rFonts w:hint="default"/>
          <w:color w:val="auto"/>
          <w:highlight w:val="none"/>
          <w:lang w:val="en-US" w:eastAsia="zh-CN"/>
        </w:rPr>
      </w:pPr>
    </w:p>
    <w:p>
      <w:pPr>
        <w:pStyle w:val="3"/>
        <w:rPr>
          <w:rFonts w:hint="eastAsia"/>
          <w:color w:val="auto"/>
          <w:highlight w:val="none"/>
          <w:lang w:val="en-US" w:eastAsia="zh-CN" w:bidi="th-TH"/>
        </w:rPr>
      </w:pPr>
      <w:bookmarkStart w:id="46" w:name="_Toc6030"/>
      <w:r>
        <w:rPr>
          <w:rFonts w:hint="eastAsia"/>
          <w:color w:val="auto"/>
          <w:highlight w:val="none"/>
          <w:lang w:val="en-US" w:eastAsia="zh-CN" w:bidi="th-TH"/>
        </w:rPr>
        <w:t>第十四条：调压站</w:t>
      </w:r>
      <w:bookmarkEnd w:id="46"/>
    </w:p>
    <w:p>
      <w:pPr>
        <w:ind w:firstLine="560" w:firstLineChars="200"/>
        <w:rPr>
          <w:rFonts w:hint="eastAsia" w:ascii="Times New Roman" w:hAnsi="Times New Roman" w:cs="Times New Roman"/>
          <w:color w:val="auto"/>
          <w:sz w:val="28"/>
          <w:szCs w:val="28"/>
          <w:highlight w:val="none"/>
          <w:lang w:val="en-US" w:eastAsia="zh-CN" w:bidi="th-TH"/>
        </w:rPr>
      </w:pPr>
      <w:r>
        <w:rPr>
          <w:rFonts w:hint="eastAsia" w:ascii="Times New Roman" w:hAnsi="Times New Roman" w:cs="Times New Roman"/>
          <w:color w:val="auto"/>
          <w:sz w:val="28"/>
          <w:szCs w:val="28"/>
          <w:highlight w:val="none"/>
          <w:lang w:val="en-US" w:eastAsia="zh-CN" w:bidi="th-TH"/>
        </w:rPr>
        <w:t>1、功能</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高高压、高中压调压站在燃气输配系统中起着十分重要的作用，它是联系上一级系统（超高压、高压管道）与下一级系统（中压管道）的枢纽，高高压、高中压调压站接受输气管道来气，经过滤、调压、计量、加臭后，安全、稳定、可靠地向下一级输配管网供气。</w:t>
      </w:r>
    </w:p>
    <w:p>
      <w:pPr>
        <w:ind w:firstLine="560" w:firstLineChars="200"/>
        <w:rPr>
          <w:rFonts w:hint="default" w:ascii="Times New Roman" w:hAnsi="Times New Roman" w:cs="Times New Roman"/>
          <w:color w:val="auto"/>
          <w:sz w:val="28"/>
          <w:szCs w:val="28"/>
          <w:highlight w:val="none"/>
          <w:lang w:val="en-US" w:eastAsia="zh-CN" w:bidi="th-TH"/>
        </w:rPr>
      </w:pPr>
      <w:r>
        <w:rPr>
          <w:rFonts w:hint="eastAsia" w:ascii="Times New Roman" w:hAnsi="Times New Roman" w:cs="Times New Roman"/>
          <w:color w:val="auto"/>
          <w:sz w:val="28"/>
          <w:szCs w:val="28"/>
          <w:highlight w:val="none"/>
          <w:lang w:val="en-US" w:eastAsia="zh-CN" w:bidi="th-TH"/>
        </w:rPr>
        <w:t>2、高中压调压站规划</w:t>
      </w:r>
    </w:p>
    <w:p>
      <w:pPr>
        <w:ind w:firstLine="560" w:firstLineChars="200"/>
        <w:rPr>
          <w:rFonts w:hint="eastAsia" w:ascii="Times New Roman" w:hAnsi="Times New Roman" w:cs="Times New Roman" w:eastAsiaTheme="minorEastAsia"/>
          <w:color w:val="0000FF"/>
          <w:sz w:val="28"/>
          <w:szCs w:val="28"/>
          <w:highlight w:val="none"/>
          <w:lang w:eastAsia="zh-CN" w:bidi="th-TH"/>
        </w:rPr>
      </w:pPr>
      <w:r>
        <w:rPr>
          <w:rFonts w:hint="eastAsia" w:ascii="Times New Roman" w:hAnsi="Times New Roman" w:cs="Times New Roman"/>
          <w:color w:val="0000FF"/>
          <w:sz w:val="28"/>
          <w:szCs w:val="28"/>
          <w:highlight w:val="none"/>
          <w:lang w:val="en-US" w:eastAsia="zh-CN" w:bidi="th-TH"/>
        </w:rPr>
        <w:t>中期</w:t>
      </w:r>
      <w:r>
        <w:rPr>
          <w:rFonts w:hint="eastAsia" w:ascii="Times New Roman" w:hAnsi="Times New Roman" w:cs="Times New Roman"/>
          <w:color w:val="0000FF"/>
          <w:sz w:val="28"/>
          <w:szCs w:val="28"/>
          <w:highlight w:val="none"/>
          <w:lang w:eastAsia="zh-CN" w:bidi="th-TH"/>
        </w:rPr>
        <w:t>（</w:t>
      </w:r>
      <w:r>
        <w:rPr>
          <w:rFonts w:hint="eastAsia" w:ascii="Times New Roman" w:hAnsi="Times New Roman" w:cs="Times New Roman"/>
          <w:color w:val="0000FF"/>
          <w:sz w:val="28"/>
          <w:szCs w:val="28"/>
          <w:highlight w:val="none"/>
          <w:lang w:val="en-US" w:eastAsia="zh-CN" w:bidi="th-TH"/>
        </w:rPr>
        <w:t>2026-2030年</w:t>
      </w:r>
      <w:r>
        <w:rPr>
          <w:rFonts w:hint="eastAsia" w:ascii="Times New Roman" w:hAnsi="Times New Roman" w:cs="Times New Roman"/>
          <w:color w:val="0000FF"/>
          <w:sz w:val="28"/>
          <w:szCs w:val="28"/>
          <w:highlight w:val="none"/>
          <w:lang w:eastAsia="zh-CN" w:bidi="th-TH"/>
        </w:rPr>
        <w:t>）</w:t>
      </w:r>
      <w:r>
        <w:rPr>
          <w:rFonts w:hint="eastAsia" w:ascii="Times New Roman" w:hAnsi="Times New Roman" w:cs="Times New Roman"/>
          <w:color w:val="0000FF"/>
          <w:sz w:val="28"/>
          <w:szCs w:val="28"/>
          <w:highlight w:val="none"/>
          <w:lang w:val="en-US" w:eastAsia="zh-CN" w:bidi="th-TH"/>
        </w:rPr>
        <w:t>规划</w:t>
      </w:r>
      <w:r>
        <w:rPr>
          <w:rFonts w:ascii="Times New Roman" w:hAnsi="Times New Roman" w:cs="Times New Roman"/>
          <w:color w:val="0000FF"/>
          <w:sz w:val="28"/>
          <w:szCs w:val="28"/>
          <w:highlight w:val="none"/>
          <w:lang w:bidi="th-TH"/>
        </w:rPr>
        <w:t>高中压调压站1座，</w:t>
      </w:r>
      <w:r>
        <w:rPr>
          <w:rFonts w:hint="eastAsia" w:ascii="Times New Roman" w:hAnsi="Times New Roman" w:cs="Times New Roman"/>
          <w:color w:val="0000FF"/>
          <w:sz w:val="28"/>
          <w:szCs w:val="28"/>
          <w:highlight w:val="none"/>
          <w:lang w:val="en-US" w:eastAsia="zh-CN" w:bidi="th-TH"/>
        </w:rPr>
        <w:t>位于光伏规划路东，近南外环路，具体情况</w:t>
      </w:r>
      <w:r>
        <w:rPr>
          <w:rFonts w:ascii="Times New Roman" w:hAnsi="Times New Roman" w:cs="Times New Roman"/>
          <w:color w:val="0000FF"/>
          <w:sz w:val="28"/>
          <w:szCs w:val="28"/>
          <w:highlight w:val="none"/>
          <w:lang w:bidi="th-TH"/>
        </w:rPr>
        <w:t>如下</w:t>
      </w:r>
      <w:r>
        <w:rPr>
          <w:rFonts w:hint="eastAsia" w:ascii="Times New Roman" w:hAnsi="Times New Roman" w:cs="Times New Roman"/>
          <w:color w:val="0000FF"/>
          <w:sz w:val="28"/>
          <w:szCs w:val="28"/>
          <w:highlight w:val="none"/>
          <w:lang w:eastAsia="zh-CN" w:bidi="th-TH"/>
        </w:rPr>
        <w:t>。</w:t>
      </w:r>
    </w:p>
    <w:p>
      <w:pPr>
        <w:snapToGrid w:val="0"/>
        <w:spacing w:line="360" w:lineRule="auto"/>
        <w:jc w:val="center"/>
        <w:rPr>
          <w:rFonts w:ascii="Times New Roman" w:hAnsi="Times New Roman" w:eastAsia="宋体" w:cs="Times New Roman"/>
          <w:b/>
          <w:bCs/>
          <w:color w:val="auto"/>
          <w:sz w:val="24"/>
          <w:highlight w:val="none"/>
        </w:rPr>
      </w:pPr>
      <w:r>
        <w:rPr>
          <w:rFonts w:ascii="Times New Roman" w:hAnsi="Times New Roman" w:eastAsia="宋体" w:cs="Times New Roman"/>
          <w:b/>
          <w:bCs/>
          <w:color w:val="auto"/>
          <w:sz w:val="24"/>
          <w:highlight w:val="none"/>
        </w:rPr>
        <w:t>表</w:t>
      </w:r>
      <w:r>
        <w:rPr>
          <w:rFonts w:hint="eastAsia" w:ascii="Times New Roman" w:hAnsi="Times New Roman" w:eastAsia="宋体" w:cs="Times New Roman"/>
          <w:b/>
          <w:bCs/>
          <w:color w:val="auto"/>
          <w:sz w:val="24"/>
          <w:highlight w:val="none"/>
          <w:lang w:val="en-US" w:eastAsia="zh-CN"/>
        </w:rPr>
        <w:t>4-4</w:t>
      </w:r>
      <w:r>
        <w:rPr>
          <w:rFonts w:ascii="Times New Roman" w:hAnsi="Times New Roman" w:eastAsia="宋体" w:cs="Times New Roman"/>
          <w:b/>
          <w:bCs/>
          <w:color w:val="auto"/>
          <w:sz w:val="24"/>
          <w:highlight w:val="none"/>
        </w:rPr>
        <w:t xml:space="preserve">  调压站规划情况</w:t>
      </w:r>
    </w:p>
    <w:tbl>
      <w:tblPr>
        <w:tblStyle w:val="29"/>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303"/>
        <w:gridCol w:w="1614"/>
        <w:gridCol w:w="2143"/>
        <w:gridCol w:w="1664"/>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Borders>
              <w:top w:val="thinThickSmallGap" w:color="auto" w:sz="24" w:space="0"/>
              <w:lef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序号</w:t>
            </w:r>
          </w:p>
        </w:tc>
        <w:tc>
          <w:tcPr>
            <w:tcW w:w="2303" w:type="dxa"/>
            <w:tcBorders>
              <w:top w:val="thinThick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名称</w:t>
            </w:r>
          </w:p>
        </w:tc>
        <w:tc>
          <w:tcPr>
            <w:tcW w:w="1614" w:type="dxa"/>
            <w:tcBorders>
              <w:top w:val="thinThick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设计规模</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kern w:val="0"/>
                <w:sz w:val="24"/>
                <w:highlight w:val="none"/>
              </w:rPr>
              <w:t>×</w:t>
            </w:r>
            <w:r>
              <w:rPr>
                <w:rFonts w:hint="default" w:ascii="Times New Roman" w:hAnsi="Times New Roman" w:cs="Times New Roman"/>
                <w:b/>
                <w:bCs/>
                <w:color w:val="auto"/>
                <w:sz w:val="24"/>
                <w:highlight w:val="none"/>
              </w:rPr>
              <w:t>10</w:t>
            </w:r>
            <w:r>
              <w:rPr>
                <w:rFonts w:hint="default" w:ascii="Times New Roman" w:hAnsi="Times New Roman" w:cs="Times New Roman"/>
                <w:b/>
                <w:bCs/>
                <w:color w:val="auto"/>
                <w:sz w:val="24"/>
                <w:highlight w:val="none"/>
                <w:vertAlign w:val="superscript"/>
              </w:rPr>
              <w:t>8</w:t>
            </w:r>
            <w:r>
              <w:rPr>
                <w:rFonts w:hint="default" w:ascii="Times New Roman" w:hAnsi="Times New Roman" w:cs="Times New Roman"/>
                <w:b/>
                <w:bCs/>
                <w:color w:val="auto"/>
                <w:sz w:val="24"/>
                <w:highlight w:val="none"/>
              </w:rPr>
              <w:t>Nm</w:t>
            </w:r>
            <w:r>
              <w:rPr>
                <w:rFonts w:hint="default" w:ascii="Times New Roman" w:hAnsi="Times New Roman" w:cs="Times New Roman"/>
                <w:b/>
                <w:bCs/>
                <w:color w:val="auto"/>
                <w:sz w:val="24"/>
                <w:highlight w:val="none"/>
                <w:vertAlign w:val="superscript"/>
              </w:rPr>
              <w:t>3</w:t>
            </w:r>
            <w:r>
              <w:rPr>
                <w:rFonts w:hint="default" w:ascii="Times New Roman" w:hAnsi="Times New Roman" w:cs="Times New Roman"/>
                <w:b/>
                <w:bCs/>
                <w:color w:val="auto"/>
                <w:sz w:val="24"/>
                <w:highlight w:val="none"/>
              </w:rPr>
              <w:t>/a)</w:t>
            </w:r>
          </w:p>
        </w:tc>
        <w:tc>
          <w:tcPr>
            <w:tcW w:w="2143" w:type="dxa"/>
            <w:tcBorders>
              <w:top w:val="thinThick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val="en-US" w:eastAsia="zh-CN"/>
              </w:rPr>
              <w:t>拟定</w:t>
            </w:r>
            <w:r>
              <w:rPr>
                <w:rFonts w:hint="default" w:ascii="Times New Roman" w:hAnsi="Times New Roman" w:eastAsia="宋体" w:cs="Times New Roman"/>
                <w:b/>
                <w:bCs/>
                <w:color w:val="auto"/>
                <w:sz w:val="24"/>
                <w:highlight w:val="none"/>
              </w:rPr>
              <w:t>地址</w:t>
            </w:r>
          </w:p>
        </w:tc>
        <w:tc>
          <w:tcPr>
            <w:tcW w:w="1664" w:type="dxa"/>
            <w:tcBorders>
              <w:top w:val="thinThick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占地面积（m</w:t>
            </w:r>
            <w:r>
              <w:rPr>
                <w:rFonts w:hint="default" w:ascii="Times New Roman" w:hAnsi="Times New Roman" w:eastAsia="宋体" w:cs="Times New Roman"/>
                <w:b/>
                <w:bCs/>
                <w:color w:val="auto"/>
                <w:sz w:val="24"/>
                <w:highlight w:val="none"/>
                <w:vertAlign w:val="superscript"/>
              </w:rPr>
              <w:t>2</w:t>
            </w:r>
            <w:r>
              <w:rPr>
                <w:rFonts w:hint="default" w:ascii="Times New Roman" w:hAnsi="Times New Roman" w:eastAsia="宋体" w:cs="Times New Roman"/>
                <w:b/>
                <w:bCs/>
                <w:color w:val="auto"/>
                <w:sz w:val="24"/>
                <w:highlight w:val="none"/>
              </w:rPr>
              <w:t>）</w:t>
            </w:r>
          </w:p>
        </w:tc>
        <w:tc>
          <w:tcPr>
            <w:tcW w:w="1664" w:type="dxa"/>
            <w:tcBorders>
              <w:top w:val="thinThickSmallGap" w:color="auto" w:sz="2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color w:val="0000FF"/>
                <w:sz w:val="24"/>
                <w:highlight w:val="none"/>
                <w:lang w:val="en-US" w:eastAsia="zh-CN"/>
              </w:rPr>
              <w:t>建设时间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Borders>
              <w:left w:val="nil"/>
              <w:bottom w:val="thickThin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2303" w:type="dxa"/>
            <w:tcBorders>
              <w:bottom w:val="thickThin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规划</w:t>
            </w:r>
            <w:r>
              <w:rPr>
                <w:rFonts w:hint="default" w:ascii="Times New Roman" w:hAnsi="Times New Roman" w:eastAsia="宋体" w:cs="Times New Roman"/>
                <w:color w:val="auto"/>
                <w:sz w:val="24"/>
                <w:highlight w:val="none"/>
              </w:rPr>
              <w:t>高中压调压站</w:t>
            </w:r>
          </w:p>
        </w:tc>
        <w:tc>
          <w:tcPr>
            <w:tcW w:w="1614" w:type="dxa"/>
            <w:tcBorders>
              <w:bottom w:val="thickThin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0.5</w:t>
            </w:r>
          </w:p>
        </w:tc>
        <w:tc>
          <w:tcPr>
            <w:tcW w:w="2143" w:type="dxa"/>
            <w:tcBorders>
              <w:bottom w:val="thickThin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光伏规划路东，近南外环路</w:t>
            </w:r>
          </w:p>
        </w:tc>
        <w:tc>
          <w:tcPr>
            <w:tcW w:w="1664" w:type="dxa"/>
            <w:tcBorders>
              <w:bottom w:val="thickThin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2600</w:t>
            </w:r>
          </w:p>
        </w:tc>
        <w:tc>
          <w:tcPr>
            <w:tcW w:w="1664" w:type="dxa"/>
            <w:tcBorders>
              <w:bottom w:val="thickThinSmallGap" w:color="auto" w:sz="2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0000FF"/>
                <w:sz w:val="24"/>
                <w:highlight w:val="none"/>
                <w:lang w:val="en-US" w:eastAsia="zh-CN"/>
              </w:rPr>
              <w:t>2026-2030年</w:t>
            </w:r>
          </w:p>
        </w:tc>
      </w:tr>
    </w:tbl>
    <w:p>
      <w:pPr>
        <w:snapToGrid w:val="0"/>
        <w:spacing w:line="360" w:lineRule="auto"/>
        <w:jc w:val="both"/>
        <w:rPr>
          <w:rFonts w:hint="default" w:ascii="Times New Roman" w:hAnsi="Times New Roman" w:eastAsia="宋体" w:cs="Times New Roman"/>
          <w:b/>
          <w:bCs/>
          <w:color w:val="auto"/>
          <w:sz w:val="24"/>
          <w:highlight w:val="none"/>
          <w:lang w:val="en-US" w:eastAsia="zh-CN"/>
        </w:rPr>
      </w:pPr>
    </w:p>
    <w:p>
      <w:pPr>
        <w:pStyle w:val="3"/>
        <w:rPr>
          <w:rFonts w:hint="default"/>
          <w:color w:val="auto"/>
          <w:highlight w:val="none"/>
          <w:lang w:val="en-US" w:eastAsia="zh-CN" w:bidi="th-TH"/>
        </w:rPr>
      </w:pPr>
      <w:bookmarkStart w:id="47" w:name="_Toc26620"/>
      <w:r>
        <w:rPr>
          <w:rFonts w:hint="eastAsia"/>
          <w:color w:val="auto"/>
          <w:highlight w:val="none"/>
          <w:lang w:val="en-US" w:eastAsia="zh-CN" w:bidi="th-TH"/>
        </w:rPr>
        <w:t>第十五条：CNG减压站和次高压调压站合建站</w:t>
      </w:r>
      <w:bookmarkEnd w:id="47"/>
    </w:p>
    <w:p>
      <w:pPr>
        <w:ind w:firstLine="560" w:firstLineChars="200"/>
        <w:rPr>
          <w:rFonts w:hint="default" w:ascii="Times New Roman" w:hAnsi="Times New Roman" w:cs="Times New Roman"/>
          <w:color w:val="auto"/>
          <w:sz w:val="28"/>
          <w:szCs w:val="28"/>
          <w:highlight w:val="none"/>
          <w:lang w:val="en-US" w:eastAsia="zh-CN" w:bidi="th-TH"/>
        </w:rPr>
      </w:pPr>
      <w:r>
        <w:rPr>
          <w:rFonts w:hint="eastAsia" w:ascii="Times New Roman" w:hAnsi="Times New Roman" w:cs="Times New Roman"/>
          <w:color w:val="auto"/>
          <w:sz w:val="28"/>
          <w:szCs w:val="28"/>
          <w:highlight w:val="none"/>
          <w:lang w:val="en-US" w:eastAsia="zh-CN" w:bidi="th-TH"/>
        </w:rPr>
        <w:t>1、功能</w:t>
      </w:r>
    </w:p>
    <w:p>
      <w:pPr>
        <w:ind w:firstLine="560" w:firstLineChars="200"/>
        <w:rPr>
          <w:rFonts w:hint="default" w:ascii="Times New Roman" w:hAnsi="Times New Roman" w:cs="Times New Roman"/>
          <w:color w:val="auto"/>
          <w:sz w:val="28"/>
          <w:szCs w:val="28"/>
          <w:highlight w:val="none"/>
          <w:lang w:val="en-US" w:eastAsia="zh-CN" w:bidi="th-TH"/>
        </w:rPr>
      </w:pPr>
      <w:r>
        <w:rPr>
          <w:rFonts w:hint="eastAsia" w:ascii="Times New Roman" w:hAnsi="Times New Roman" w:cs="Times New Roman"/>
          <w:color w:val="auto"/>
          <w:sz w:val="28"/>
          <w:szCs w:val="28"/>
          <w:highlight w:val="none"/>
          <w:lang w:val="en-US" w:eastAsia="zh-CN" w:bidi="th-TH"/>
        </w:rPr>
        <w:t>（1）</w:t>
      </w:r>
      <w:r>
        <w:rPr>
          <w:rFonts w:hint="default" w:ascii="Times New Roman" w:hAnsi="Times New Roman" w:cs="Times New Roman"/>
          <w:color w:val="auto"/>
          <w:sz w:val="28"/>
          <w:szCs w:val="28"/>
          <w:highlight w:val="none"/>
          <w:lang w:val="en-US" w:eastAsia="zh-CN" w:bidi="th-TH"/>
        </w:rPr>
        <w:t>CNG减压功能：将压缩天然气（CNG）从高压状态减压至中压或低压状态，以便输送给下游用户。通过多级减压装置，确保减压过程稳定、安全，避免压力波动对管道和设备造成损坏。</w:t>
      </w:r>
    </w:p>
    <w:p>
      <w:pPr>
        <w:ind w:firstLine="560" w:firstLineChars="200"/>
        <w:rPr>
          <w:rFonts w:hint="default" w:ascii="Times New Roman" w:hAnsi="Times New Roman" w:cs="Times New Roman"/>
          <w:color w:val="auto"/>
          <w:sz w:val="28"/>
          <w:szCs w:val="28"/>
          <w:highlight w:val="none"/>
          <w:lang w:val="en-US" w:eastAsia="zh-CN" w:bidi="th-TH"/>
        </w:rPr>
      </w:pPr>
      <w:r>
        <w:rPr>
          <w:rFonts w:hint="eastAsia" w:ascii="Times New Roman" w:hAnsi="Times New Roman" w:cs="Times New Roman"/>
          <w:color w:val="auto"/>
          <w:sz w:val="28"/>
          <w:szCs w:val="28"/>
          <w:highlight w:val="none"/>
          <w:lang w:val="en-US" w:eastAsia="zh-CN" w:bidi="th-TH"/>
        </w:rPr>
        <w:t>（2）</w:t>
      </w:r>
      <w:r>
        <w:rPr>
          <w:rFonts w:hint="default" w:ascii="Times New Roman" w:hAnsi="Times New Roman" w:cs="Times New Roman"/>
          <w:color w:val="auto"/>
          <w:sz w:val="28"/>
          <w:szCs w:val="28"/>
          <w:highlight w:val="none"/>
          <w:lang w:val="en-US" w:eastAsia="zh-CN" w:bidi="th-TH"/>
        </w:rPr>
        <w:t>次高压调压功能：对次高压天然气进行调压处理，将其压力调整至适合下游管网或用户的压力水平。能够根据实际用气情况进行压力调节，保证供气压力的稳定性和可靠性。</w:t>
      </w:r>
    </w:p>
    <w:p>
      <w:pPr>
        <w:ind w:firstLine="560" w:firstLineChars="200"/>
        <w:rPr>
          <w:rFonts w:hint="eastAsia" w:ascii="Times New Roman" w:hAnsi="Times New Roman" w:cs="Times New Roman"/>
          <w:color w:val="auto"/>
          <w:sz w:val="28"/>
          <w:szCs w:val="28"/>
          <w:highlight w:val="none"/>
          <w:lang w:val="en-US" w:eastAsia="zh-CN" w:bidi="th-TH"/>
        </w:rPr>
      </w:pPr>
      <w:r>
        <w:rPr>
          <w:rFonts w:hint="eastAsia" w:ascii="Times New Roman" w:hAnsi="Times New Roman" w:cs="Times New Roman"/>
          <w:color w:val="auto"/>
          <w:sz w:val="28"/>
          <w:szCs w:val="28"/>
          <w:highlight w:val="none"/>
          <w:lang w:val="en-US" w:eastAsia="zh-CN" w:bidi="th-TH"/>
        </w:rPr>
        <w:t>2、CNG减压站和次高压调压站合建站规划</w:t>
      </w:r>
    </w:p>
    <w:p>
      <w:pPr>
        <w:ind w:firstLine="560" w:firstLineChars="200"/>
        <w:rPr>
          <w:rFonts w:hint="eastAsia" w:ascii="Times New Roman" w:hAnsi="Times New Roman" w:cs="Times New Roman" w:eastAsiaTheme="minorEastAsia"/>
          <w:color w:val="0000FF"/>
          <w:sz w:val="28"/>
          <w:szCs w:val="28"/>
          <w:highlight w:val="none"/>
          <w:lang w:eastAsia="zh-CN" w:bidi="th-TH"/>
        </w:rPr>
      </w:pPr>
      <w:r>
        <w:rPr>
          <w:rFonts w:hint="eastAsia" w:ascii="Times New Roman" w:hAnsi="Times New Roman" w:cs="Times New Roman"/>
          <w:color w:val="auto"/>
          <w:sz w:val="28"/>
          <w:szCs w:val="28"/>
          <w:highlight w:val="none"/>
          <w:lang w:val="en-US" w:eastAsia="zh-CN" w:bidi="th-TH"/>
        </w:rPr>
        <w:t>近</w:t>
      </w:r>
      <w:r>
        <w:rPr>
          <w:rFonts w:ascii="Times New Roman" w:hAnsi="Times New Roman" w:cs="Times New Roman"/>
          <w:color w:val="auto"/>
          <w:sz w:val="28"/>
          <w:szCs w:val="28"/>
          <w:highlight w:val="none"/>
          <w:lang w:bidi="th-TH"/>
        </w:rPr>
        <w:t>期</w:t>
      </w: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2023-2025年</w:t>
      </w: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规划</w:t>
      </w:r>
      <w:r>
        <w:rPr>
          <w:rFonts w:hint="eastAsia" w:ascii="Times New Roman" w:hAnsi="Times New Roman" w:cs="Times New Roman"/>
          <w:color w:val="auto"/>
          <w:sz w:val="28"/>
          <w:szCs w:val="28"/>
          <w:highlight w:val="none"/>
          <w:lang w:bidi="th-TH"/>
        </w:rPr>
        <w:t>CNG减压站和次高压调压站合建站</w:t>
      </w:r>
      <w:r>
        <w:rPr>
          <w:rFonts w:ascii="Times New Roman" w:hAnsi="Times New Roman" w:cs="Times New Roman"/>
          <w:color w:val="auto"/>
          <w:sz w:val="28"/>
          <w:szCs w:val="28"/>
          <w:highlight w:val="none"/>
          <w:lang w:bidi="th-TH"/>
        </w:rPr>
        <w:t>1座，</w:t>
      </w:r>
      <w:r>
        <w:rPr>
          <w:rFonts w:hint="eastAsia" w:ascii="Times New Roman" w:hAnsi="Times New Roman" w:cs="Times New Roman"/>
          <w:color w:val="0000FF"/>
          <w:sz w:val="28"/>
          <w:szCs w:val="28"/>
          <w:highlight w:val="none"/>
          <w:lang w:val="en-US" w:eastAsia="zh-CN" w:bidi="th-TH"/>
        </w:rPr>
        <w:t>位于辽中环线高速公路南侧、再生园规划一路北侧，具体情况</w:t>
      </w:r>
      <w:r>
        <w:rPr>
          <w:rFonts w:ascii="Times New Roman" w:hAnsi="Times New Roman" w:cs="Times New Roman"/>
          <w:color w:val="0000FF"/>
          <w:sz w:val="28"/>
          <w:szCs w:val="28"/>
          <w:highlight w:val="none"/>
          <w:lang w:bidi="th-TH"/>
        </w:rPr>
        <w:t>如下</w:t>
      </w:r>
      <w:r>
        <w:rPr>
          <w:rFonts w:hint="eastAsia" w:ascii="Times New Roman" w:hAnsi="Times New Roman" w:cs="Times New Roman"/>
          <w:color w:val="0000FF"/>
          <w:sz w:val="28"/>
          <w:szCs w:val="28"/>
          <w:highlight w:val="none"/>
          <w:lang w:eastAsia="zh-CN" w:bidi="th-TH"/>
        </w:rPr>
        <w:t>。</w:t>
      </w:r>
    </w:p>
    <w:p>
      <w:pPr>
        <w:snapToGrid w:val="0"/>
        <w:spacing w:line="360" w:lineRule="auto"/>
        <w:jc w:val="center"/>
        <w:rPr>
          <w:rFonts w:ascii="Times New Roman" w:hAnsi="Times New Roman" w:eastAsia="宋体" w:cs="Times New Roman"/>
          <w:b/>
          <w:bCs/>
          <w:color w:val="auto"/>
          <w:sz w:val="24"/>
          <w:highlight w:val="none"/>
        </w:rPr>
      </w:pPr>
      <w:r>
        <w:rPr>
          <w:rFonts w:ascii="Times New Roman" w:hAnsi="Times New Roman" w:eastAsia="宋体" w:cs="Times New Roman"/>
          <w:b/>
          <w:bCs/>
          <w:color w:val="auto"/>
          <w:sz w:val="24"/>
          <w:highlight w:val="none"/>
        </w:rPr>
        <w:t>表</w:t>
      </w:r>
      <w:r>
        <w:rPr>
          <w:rFonts w:hint="eastAsia" w:ascii="Times New Roman" w:hAnsi="Times New Roman" w:eastAsia="宋体" w:cs="Times New Roman"/>
          <w:b/>
          <w:bCs/>
          <w:color w:val="auto"/>
          <w:sz w:val="24"/>
          <w:highlight w:val="none"/>
          <w:lang w:val="en-US" w:eastAsia="zh-CN"/>
        </w:rPr>
        <w:t xml:space="preserve">4-5 </w:t>
      </w:r>
      <w:r>
        <w:rPr>
          <w:rFonts w:ascii="Times New Roman" w:hAnsi="Times New Roman" w:eastAsia="宋体" w:cs="Times New Roman"/>
          <w:b/>
          <w:bCs/>
          <w:color w:val="auto"/>
          <w:sz w:val="24"/>
          <w:highlight w:val="none"/>
        </w:rPr>
        <w:t xml:space="preserve"> </w:t>
      </w:r>
      <w:r>
        <w:rPr>
          <w:rFonts w:hint="eastAsia" w:ascii="Times New Roman" w:hAnsi="Times New Roman" w:eastAsia="宋体" w:cs="Times New Roman"/>
          <w:b/>
          <w:bCs/>
          <w:color w:val="auto"/>
          <w:sz w:val="24"/>
          <w:highlight w:val="none"/>
        </w:rPr>
        <w:t>CNG减压站和次高压调压站合建站</w:t>
      </w:r>
      <w:r>
        <w:rPr>
          <w:rFonts w:ascii="Times New Roman" w:hAnsi="Times New Roman" w:eastAsia="宋体" w:cs="Times New Roman"/>
          <w:b/>
          <w:bCs/>
          <w:color w:val="auto"/>
          <w:sz w:val="24"/>
          <w:highlight w:val="none"/>
        </w:rPr>
        <w:t>规划情况</w:t>
      </w:r>
    </w:p>
    <w:tbl>
      <w:tblPr>
        <w:tblStyle w:val="29"/>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681"/>
        <w:gridCol w:w="1557"/>
        <w:gridCol w:w="2775"/>
        <w:gridCol w:w="105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tcBorders>
              <w:top w:val="thinThickSmallGap" w:color="auto" w:sz="24" w:space="0"/>
              <w:lef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序号</w:t>
            </w:r>
          </w:p>
        </w:tc>
        <w:tc>
          <w:tcPr>
            <w:tcW w:w="2681" w:type="dxa"/>
            <w:tcBorders>
              <w:top w:val="thinThick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名称</w:t>
            </w:r>
          </w:p>
        </w:tc>
        <w:tc>
          <w:tcPr>
            <w:tcW w:w="1557" w:type="dxa"/>
            <w:tcBorders>
              <w:top w:val="thinThick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设计规模</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kern w:val="0"/>
                <w:sz w:val="24"/>
                <w:highlight w:val="none"/>
              </w:rPr>
              <w:t>×</w:t>
            </w:r>
            <w:r>
              <w:rPr>
                <w:rFonts w:hint="default" w:ascii="Times New Roman" w:hAnsi="Times New Roman" w:cs="Times New Roman"/>
                <w:b/>
                <w:bCs/>
                <w:color w:val="auto"/>
                <w:sz w:val="24"/>
                <w:highlight w:val="none"/>
              </w:rPr>
              <w:t>10</w:t>
            </w:r>
            <w:r>
              <w:rPr>
                <w:rFonts w:hint="default" w:ascii="Times New Roman" w:hAnsi="Times New Roman" w:cs="Times New Roman"/>
                <w:b/>
                <w:bCs/>
                <w:color w:val="auto"/>
                <w:sz w:val="24"/>
                <w:highlight w:val="none"/>
                <w:vertAlign w:val="superscript"/>
              </w:rPr>
              <w:t>8</w:t>
            </w:r>
            <w:r>
              <w:rPr>
                <w:rFonts w:hint="default" w:ascii="Times New Roman" w:hAnsi="Times New Roman" w:cs="Times New Roman"/>
                <w:b/>
                <w:bCs/>
                <w:color w:val="auto"/>
                <w:sz w:val="24"/>
                <w:highlight w:val="none"/>
              </w:rPr>
              <w:t>Nm</w:t>
            </w:r>
            <w:r>
              <w:rPr>
                <w:rFonts w:hint="default" w:ascii="Times New Roman" w:hAnsi="Times New Roman" w:cs="Times New Roman"/>
                <w:b/>
                <w:bCs/>
                <w:color w:val="auto"/>
                <w:sz w:val="24"/>
                <w:highlight w:val="none"/>
                <w:vertAlign w:val="superscript"/>
              </w:rPr>
              <w:t>3</w:t>
            </w:r>
            <w:r>
              <w:rPr>
                <w:rFonts w:hint="default" w:ascii="Times New Roman" w:hAnsi="Times New Roman" w:cs="Times New Roman"/>
                <w:b/>
                <w:bCs/>
                <w:color w:val="auto"/>
                <w:sz w:val="24"/>
                <w:highlight w:val="none"/>
              </w:rPr>
              <w:t>/a)</w:t>
            </w:r>
          </w:p>
        </w:tc>
        <w:tc>
          <w:tcPr>
            <w:tcW w:w="2775" w:type="dxa"/>
            <w:tcBorders>
              <w:top w:val="thinThick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val="en-US" w:eastAsia="zh-CN"/>
              </w:rPr>
              <w:t>拟定</w:t>
            </w:r>
            <w:r>
              <w:rPr>
                <w:rFonts w:hint="default" w:ascii="Times New Roman" w:hAnsi="Times New Roman" w:eastAsia="宋体" w:cs="Times New Roman"/>
                <w:b/>
                <w:bCs/>
                <w:color w:val="auto"/>
                <w:sz w:val="24"/>
                <w:highlight w:val="none"/>
              </w:rPr>
              <w:t>地址</w:t>
            </w:r>
          </w:p>
        </w:tc>
        <w:tc>
          <w:tcPr>
            <w:tcW w:w="1050" w:type="dxa"/>
            <w:tcBorders>
              <w:top w:val="thinThick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占地面积（m</w:t>
            </w:r>
            <w:r>
              <w:rPr>
                <w:rFonts w:hint="default" w:ascii="Times New Roman" w:hAnsi="Times New Roman" w:eastAsia="宋体" w:cs="Times New Roman"/>
                <w:b/>
                <w:bCs/>
                <w:color w:val="auto"/>
                <w:sz w:val="24"/>
                <w:highlight w:val="none"/>
                <w:vertAlign w:val="superscript"/>
              </w:rPr>
              <w:t>2</w:t>
            </w:r>
            <w:r>
              <w:rPr>
                <w:rFonts w:hint="default" w:ascii="Times New Roman" w:hAnsi="Times New Roman" w:eastAsia="宋体" w:cs="Times New Roman"/>
                <w:b/>
                <w:bCs/>
                <w:color w:val="auto"/>
                <w:sz w:val="24"/>
                <w:highlight w:val="none"/>
              </w:rPr>
              <w:t>）</w:t>
            </w:r>
          </w:p>
        </w:tc>
        <w:tc>
          <w:tcPr>
            <w:tcW w:w="1648" w:type="dxa"/>
            <w:tcBorders>
              <w:top w:val="thinThickSmallGap" w:color="auto" w:sz="2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color w:val="0000FF"/>
                <w:sz w:val="24"/>
                <w:highlight w:val="none"/>
                <w:lang w:val="en-US" w:eastAsia="zh-CN"/>
              </w:rPr>
              <w:t>建设时间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tcBorders>
              <w:left w:val="nil"/>
              <w:bottom w:val="thickThin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2681" w:type="dxa"/>
            <w:tcBorders>
              <w:bottom w:val="thickThin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highlight w:val="none"/>
                <w:lang w:val="en-US" w:eastAsia="zh-CN"/>
              </w:rPr>
              <w:t>再生园区CNG减压站和次高压调压站合建站</w:t>
            </w:r>
          </w:p>
        </w:tc>
        <w:tc>
          <w:tcPr>
            <w:tcW w:w="1557" w:type="dxa"/>
            <w:tcBorders>
              <w:bottom w:val="thickThin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0.2628</w:t>
            </w:r>
          </w:p>
        </w:tc>
        <w:tc>
          <w:tcPr>
            <w:tcW w:w="2775" w:type="dxa"/>
            <w:tcBorders>
              <w:bottom w:val="thickThin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辽中环线高速公路南侧、再生园规划一路北侧</w:t>
            </w:r>
          </w:p>
        </w:tc>
        <w:tc>
          <w:tcPr>
            <w:tcW w:w="1050" w:type="dxa"/>
            <w:tcBorders>
              <w:bottom w:val="thickThinSmallGap" w:color="auto" w:sz="2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3200</w:t>
            </w:r>
          </w:p>
        </w:tc>
        <w:tc>
          <w:tcPr>
            <w:tcW w:w="1648" w:type="dxa"/>
            <w:tcBorders>
              <w:bottom w:val="thickThinSmallGap" w:color="auto" w:sz="24"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2023-2025年</w:t>
            </w:r>
          </w:p>
        </w:tc>
      </w:tr>
    </w:tbl>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b/>
          <w:color w:val="auto"/>
          <w:sz w:val="24"/>
          <w:highlight w:val="none"/>
          <w:lang w:val="en-US" w:eastAsia="zh-CN"/>
        </w:rPr>
      </w:pPr>
    </w:p>
    <w:p>
      <w:pPr>
        <w:pStyle w:val="3"/>
        <w:rPr>
          <w:color w:val="auto"/>
          <w:highlight w:val="none"/>
          <w:lang w:bidi="th-TH"/>
        </w:rPr>
      </w:pPr>
      <w:bookmarkStart w:id="48" w:name="_Toc27362"/>
      <w:r>
        <w:rPr>
          <w:rFonts w:hint="eastAsia"/>
          <w:color w:val="auto"/>
          <w:highlight w:val="none"/>
          <w:lang w:bidi="th-TH"/>
        </w:rPr>
        <w:t>第十</w:t>
      </w:r>
      <w:r>
        <w:rPr>
          <w:rFonts w:hint="eastAsia"/>
          <w:color w:val="auto"/>
          <w:highlight w:val="none"/>
          <w:lang w:val="en-US" w:eastAsia="zh-CN" w:bidi="th-TH"/>
        </w:rPr>
        <w:t>六</w:t>
      </w:r>
      <w:r>
        <w:rPr>
          <w:rFonts w:hint="eastAsia"/>
          <w:color w:val="auto"/>
          <w:highlight w:val="none"/>
          <w:lang w:bidi="th-TH"/>
        </w:rPr>
        <w:t>条：LNG储配站规划</w:t>
      </w:r>
      <w:bookmarkEnd w:id="48"/>
    </w:p>
    <w:p>
      <w:pPr>
        <w:pStyle w:val="7"/>
        <w:ind w:firstLine="560"/>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val="en-US" w:eastAsia="zh-CN" w:bidi="th-TH"/>
        </w:rPr>
        <w:t>1、</w:t>
      </w:r>
      <w:r>
        <w:rPr>
          <w:rFonts w:ascii="Times New Roman" w:hAnsi="Times New Roman"/>
          <w:color w:val="auto"/>
          <w:sz w:val="28"/>
          <w:szCs w:val="28"/>
          <w:highlight w:val="none"/>
          <w:lang w:bidi="th-TH"/>
        </w:rPr>
        <w:t>功能</w:t>
      </w:r>
    </w:p>
    <w:p>
      <w:pPr>
        <w:pStyle w:val="7"/>
        <w:ind w:firstLine="56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LNG储配站功能主要是LNG通过槽车运至LNG储配站内，经LNG卸车泵卸至LNG储罐储存，再利用储罐内的LNG潜液泵撬加压送至装车系统。</w:t>
      </w:r>
    </w:p>
    <w:p>
      <w:pPr>
        <w:pStyle w:val="7"/>
        <w:ind w:firstLine="560"/>
        <w:jc w:val="left"/>
        <w:rPr>
          <w:rFonts w:hint="default" w:ascii="Times New Roman" w:hAnsi="Times New Roman"/>
          <w:color w:val="auto"/>
          <w:sz w:val="28"/>
          <w:szCs w:val="28"/>
          <w:highlight w:val="none"/>
          <w:lang w:val="en-US" w:bidi="th-TH"/>
        </w:rPr>
      </w:pPr>
      <w:r>
        <w:rPr>
          <w:rFonts w:hint="eastAsia" w:ascii="Times New Roman" w:hAnsi="Times New Roman"/>
          <w:color w:val="auto"/>
          <w:sz w:val="28"/>
          <w:szCs w:val="28"/>
          <w:highlight w:val="none"/>
          <w:lang w:val="en-US" w:eastAsia="zh-CN" w:bidi="th-TH"/>
        </w:rPr>
        <w:t>2、LNG储配站规划</w:t>
      </w:r>
    </w:p>
    <w:p>
      <w:pPr>
        <w:ind w:firstLine="560" w:firstLineChars="200"/>
        <w:rPr>
          <w:rFonts w:hint="eastAsia" w:ascii="Times New Roman" w:hAnsi="Times New Roman" w:eastAsia="宋体" w:cs="Times New Roman"/>
          <w:color w:val="auto"/>
          <w:sz w:val="28"/>
          <w:szCs w:val="28"/>
          <w:highlight w:val="none"/>
          <w:lang w:eastAsia="zh-CN"/>
        </w:rPr>
      </w:pPr>
      <w:r>
        <w:rPr>
          <w:rFonts w:hint="eastAsia" w:ascii="Times New Roman" w:hAnsi="Times New Roman" w:cs="Times New Roman"/>
          <w:color w:val="0000FF"/>
          <w:sz w:val="28"/>
          <w:szCs w:val="28"/>
          <w:highlight w:val="none"/>
          <w:lang w:val="en-US" w:eastAsia="zh-CN"/>
        </w:rPr>
        <w:t>远期（2031-2035年）规划</w:t>
      </w:r>
      <w:r>
        <w:rPr>
          <w:rFonts w:ascii="Times New Roman" w:hAnsi="Times New Roman" w:cs="Times New Roman"/>
          <w:color w:val="0000FF"/>
          <w:sz w:val="28"/>
          <w:szCs w:val="28"/>
          <w:highlight w:val="none"/>
        </w:rPr>
        <w:t>LNG</w:t>
      </w:r>
      <w:r>
        <w:rPr>
          <w:rFonts w:hint="eastAsia" w:ascii="Times New Roman" w:hAnsi="Times New Roman" w:cs="Times New Roman"/>
          <w:color w:val="0000FF"/>
          <w:sz w:val="28"/>
          <w:szCs w:val="28"/>
          <w:highlight w:val="none"/>
        </w:rPr>
        <w:t>储配站</w:t>
      </w:r>
      <w:r>
        <w:rPr>
          <w:rFonts w:hint="eastAsia" w:ascii="Times New Roman" w:hAnsi="Times New Roman" w:cs="Times New Roman"/>
          <w:color w:val="0000FF"/>
          <w:sz w:val="28"/>
          <w:szCs w:val="28"/>
          <w:highlight w:val="none"/>
          <w:lang w:val="en-US" w:eastAsia="zh-CN"/>
        </w:rPr>
        <w:t>1座</w:t>
      </w:r>
      <w:r>
        <w:rPr>
          <w:rFonts w:ascii="Times New Roman" w:hAnsi="Times New Roman" w:eastAsia="宋体" w:cs="Times New Roman"/>
          <w:color w:val="0000FF"/>
          <w:sz w:val="28"/>
          <w:szCs w:val="28"/>
          <w:highlight w:val="none"/>
        </w:rPr>
        <w:t>，储气量为</w:t>
      </w:r>
      <w:r>
        <w:rPr>
          <w:rFonts w:hint="eastAsia" w:ascii="Times New Roman" w:hAnsi="Times New Roman" w:eastAsia="宋体" w:cs="Times New Roman"/>
          <w:color w:val="0000FF"/>
          <w:sz w:val="28"/>
          <w:szCs w:val="28"/>
          <w:highlight w:val="none"/>
          <w:lang w:val="en-US" w:eastAsia="zh-CN"/>
        </w:rPr>
        <w:t>50</w:t>
      </w:r>
      <w:r>
        <w:rPr>
          <w:rFonts w:ascii="Times New Roman" w:hAnsi="Times New Roman" w:eastAsia="宋体" w:cs="Times New Roman"/>
          <w:color w:val="0000FF"/>
          <w:sz w:val="28"/>
          <w:szCs w:val="28"/>
          <w:highlight w:val="none"/>
        </w:rPr>
        <w:t>×10</w:t>
      </w:r>
      <w:r>
        <w:rPr>
          <w:rFonts w:ascii="Times New Roman" w:hAnsi="Times New Roman" w:eastAsia="宋体" w:cs="Times New Roman"/>
          <w:color w:val="0000FF"/>
          <w:sz w:val="28"/>
          <w:szCs w:val="28"/>
          <w:highlight w:val="none"/>
          <w:vertAlign w:val="superscript"/>
        </w:rPr>
        <w:t>4</w:t>
      </w:r>
      <w:r>
        <w:rPr>
          <w:rFonts w:hint="eastAsia" w:ascii="Times New Roman" w:hAnsi="Times New Roman" w:eastAsia="宋体" w:cs="Times New Roman"/>
          <w:color w:val="0000FF"/>
          <w:sz w:val="28"/>
          <w:szCs w:val="28"/>
          <w:highlight w:val="none"/>
        </w:rPr>
        <w:t>N</w:t>
      </w:r>
      <w:r>
        <w:rPr>
          <w:rFonts w:ascii="Times New Roman" w:hAnsi="Times New Roman" w:eastAsia="宋体" w:cs="Times New Roman"/>
          <w:color w:val="0000FF"/>
          <w:sz w:val="28"/>
          <w:szCs w:val="28"/>
          <w:highlight w:val="none"/>
        </w:rPr>
        <w:t>m</w:t>
      </w:r>
      <w:r>
        <w:rPr>
          <w:rFonts w:ascii="Times New Roman" w:hAnsi="Times New Roman" w:eastAsia="宋体" w:cs="Times New Roman"/>
          <w:color w:val="0000FF"/>
          <w:sz w:val="28"/>
          <w:szCs w:val="28"/>
          <w:highlight w:val="none"/>
          <w:vertAlign w:val="superscript"/>
        </w:rPr>
        <w:t>3</w:t>
      </w:r>
      <w:r>
        <w:rPr>
          <w:rFonts w:hint="eastAsia" w:ascii="Times New Roman" w:hAnsi="Times New Roman" w:eastAsia="宋体" w:cs="Times New Roman"/>
          <w:color w:val="0000FF"/>
          <w:sz w:val="28"/>
          <w:szCs w:val="28"/>
          <w:highlight w:val="none"/>
          <w:vertAlign w:val="baseline"/>
          <w:lang w:eastAsia="zh-CN"/>
        </w:rPr>
        <w:t>，</w:t>
      </w:r>
      <w:r>
        <w:rPr>
          <w:rFonts w:hint="eastAsia" w:ascii="Times New Roman" w:hAnsi="Times New Roman" w:eastAsia="宋体" w:cs="Times New Roman"/>
          <w:color w:val="0000FF"/>
          <w:sz w:val="28"/>
          <w:szCs w:val="28"/>
          <w:highlight w:val="none"/>
          <w:lang w:val="en-US" w:eastAsia="zh-CN"/>
        </w:rPr>
        <w:t>位于辽中环线高速公路南侧、经十一街南段东侧，具体情况如下。</w:t>
      </w:r>
    </w:p>
    <w:p>
      <w:pPr>
        <w:keepNext w:val="0"/>
        <w:keepLines w:val="0"/>
        <w:pageBreakBefore w:val="0"/>
        <w:widowControl w:val="0"/>
        <w:kinsoku/>
        <w:wordWrap/>
        <w:overflowPunct/>
        <w:topLinePunct w:val="0"/>
        <w:autoSpaceDE/>
        <w:autoSpaceDN/>
        <w:bidi w:val="0"/>
        <w:adjustRightInd/>
        <w:spacing w:line="360" w:lineRule="auto"/>
        <w:ind w:firstLine="481" w:firstLineChars="200"/>
        <w:jc w:val="center"/>
        <w:textAlignment w:val="auto"/>
        <w:rPr>
          <w:rFonts w:ascii="Times New Roman" w:hAnsi="Times New Roman"/>
          <w:b/>
          <w:color w:val="auto"/>
          <w:sz w:val="24"/>
          <w:highlight w:val="none"/>
        </w:rPr>
      </w:pPr>
      <w:r>
        <w:rPr>
          <w:rFonts w:ascii="Times New Roman" w:hAnsi="Times New Roman"/>
          <w:b/>
          <w:color w:val="auto"/>
          <w:sz w:val="24"/>
          <w:highlight w:val="none"/>
        </w:rPr>
        <w:t>表4-</w:t>
      </w:r>
      <w:r>
        <w:rPr>
          <w:rFonts w:hint="eastAsia" w:ascii="Times New Roman" w:hAnsi="Times New Roman"/>
          <w:b/>
          <w:color w:val="auto"/>
          <w:sz w:val="24"/>
          <w:highlight w:val="none"/>
          <w:lang w:val="en-US" w:eastAsia="zh-CN"/>
        </w:rPr>
        <w:t>6</w:t>
      </w:r>
      <w:r>
        <w:rPr>
          <w:rFonts w:ascii="Times New Roman" w:hAnsi="Times New Roman"/>
          <w:b/>
          <w:color w:val="auto"/>
          <w:sz w:val="24"/>
          <w:highlight w:val="none"/>
        </w:rPr>
        <w:t xml:space="preserve">  </w:t>
      </w:r>
      <w:r>
        <w:rPr>
          <w:rFonts w:hint="eastAsia" w:ascii="Times New Roman" w:hAnsi="Times New Roman" w:cs="Times New Roman"/>
          <w:b/>
          <w:bCs/>
          <w:color w:val="auto"/>
          <w:sz w:val="24"/>
          <w:highlight w:val="none"/>
          <w:lang w:val="en-US" w:eastAsia="zh-CN" w:bidi="th-TH"/>
        </w:rPr>
        <w:t>LNG储配站</w:t>
      </w:r>
      <w:r>
        <w:rPr>
          <w:rFonts w:ascii="Times New Roman" w:hAnsi="Times New Roman"/>
          <w:b/>
          <w:color w:val="auto"/>
          <w:sz w:val="24"/>
          <w:highlight w:val="none"/>
        </w:rPr>
        <w:t>规划一览表</w:t>
      </w:r>
    </w:p>
    <w:tbl>
      <w:tblPr>
        <w:tblStyle w:val="28"/>
        <w:tblW w:w="4998" w:type="pct"/>
        <w:jc w:val="center"/>
        <w:tblBorders>
          <w:top w:val="thinThickSmallGap" w:color="auto" w:sz="24" w:space="0"/>
          <w:left w:val="none" w:color="auto" w:sz="0" w:space="0"/>
          <w:bottom w:val="thinThickSmallGap" w:color="auto" w:sz="2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09"/>
        <w:gridCol w:w="2044"/>
        <w:gridCol w:w="2512"/>
        <w:gridCol w:w="1294"/>
        <w:gridCol w:w="1405"/>
        <w:gridCol w:w="1575"/>
        <w:gridCol w:w="1226"/>
      </w:tblGrid>
      <w:tr>
        <w:tblPrEx>
          <w:tblBorders>
            <w:top w:val="thinThickSmallGap" w:color="auto" w:sz="24" w:space="0"/>
            <w:left w:val="none" w:color="auto" w:sz="0" w:space="0"/>
            <w:bottom w:val="thinThick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5" w:type="pct"/>
            <w:vAlign w:val="center"/>
          </w:tcPr>
          <w:p>
            <w:pPr>
              <w:keepNext w:val="0"/>
              <w:keepLines w:val="0"/>
              <w:pageBreakBefore w:val="0"/>
              <w:widowControl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序号</w:t>
            </w:r>
          </w:p>
        </w:tc>
        <w:tc>
          <w:tcPr>
            <w:tcW w:w="976" w:type="pct"/>
            <w:vAlign w:val="center"/>
          </w:tcPr>
          <w:p>
            <w:pPr>
              <w:keepNext w:val="0"/>
              <w:keepLines w:val="0"/>
              <w:pageBreakBefore w:val="0"/>
              <w:widowControl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储配站名称</w:t>
            </w:r>
          </w:p>
        </w:tc>
        <w:tc>
          <w:tcPr>
            <w:tcW w:w="1200" w:type="pct"/>
            <w:vAlign w:val="center"/>
          </w:tcPr>
          <w:p>
            <w:pPr>
              <w:keepNext w:val="0"/>
              <w:keepLines w:val="0"/>
              <w:pageBreakBefore w:val="0"/>
              <w:widowControl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地址</w:t>
            </w:r>
          </w:p>
        </w:tc>
        <w:tc>
          <w:tcPr>
            <w:tcW w:w="618" w:type="pct"/>
            <w:vAlign w:val="center"/>
          </w:tcPr>
          <w:p>
            <w:pPr>
              <w:keepNext w:val="0"/>
              <w:keepLines w:val="0"/>
              <w:pageBreakBefore w:val="0"/>
              <w:widowControl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储罐类型</w:t>
            </w:r>
          </w:p>
        </w:tc>
        <w:tc>
          <w:tcPr>
            <w:tcW w:w="671" w:type="pct"/>
            <w:vAlign w:val="center"/>
          </w:tcPr>
          <w:p>
            <w:pPr>
              <w:keepNext w:val="0"/>
              <w:keepLines w:val="0"/>
              <w:pageBreakBefore w:val="0"/>
              <w:widowControl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储气规模（10</w:t>
            </w:r>
            <w:r>
              <w:rPr>
                <w:rFonts w:hint="default" w:ascii="Times New Roman" w:hAnsi="Times New Roman" w:eastAsia="宋体" w:cs="Times New Roman"/>
                <w:b/>
                <w:bCs/>
                <w:color w:val="auto"/>
                <w:sz w:val="24"/>
                <w:highlight w:val="none"/>
                <w:vertAlign w:val="superscript"/>
                <w:lang w:val="en-US" w:eastAsia="zh-CN"/>
              </w:rPr>
              <w:t>4</w:t>
            </w:r>
            <w:r>
              <w:rPr>
                <w:rFonts w:hint="default" w:ascii="Times New Roman" w:hAnsi="Times New Roman" w:eastAsia="宋体" w:cs="Times New Roman"/>
                <w:b/>
                <w:bCs/>
                <w:color w:val="auto"/>
                <w:sz w:val="24"/>
                <w:highlight w:val="none"/>
                <w:lang w:val="en-US" w:eastAsia="zh-CN"/>
              </w:rPr>
              <w:t>Nm</w:t>
            </w:r>
            <w:r>
              <w:rPr>
                <w:rFonts w:hint="default" w:ascii="Times New Roman" w:hAnsi="Times New Roman" w:eastAsia="宋体" w:cs="Times New Roman"/>
                <w:b/>
                <w:bCs/>
                <w:color w:val="auto"/>
                <w:sz w:val="24"/>
                <w:highlight w:val="none"/>
                <w:vertAlign w:val="superscript"/>
                <w:lang w:val="en-US" w:eastAsia="zh-CN"/>
              </w:rPr>
              <w:t>3</w:t>
            </w:r>
            <w:r>
              <w:rPr>
                <w:rFonts w:hint="default" w:ascii="Times New Roman" w:hAnsi="Times New Roman" w:eastAsia="宋体" w:cs="Times New Roman"/>
                <w:b/>
                <w:bCs/>
                <w:color w:val="auto"/>
                <w:sz w:val="24"/>
                <w:highlight w:val="none"/>
                <w:lang w:val="en-US" w:eastAsia="zh-CN"/>
              </w:rPr>
              <w:t>）</w:t>
            </w:r>
          </w:p>
        </w:tc>
        <w:tc>
          <w:tcPr>
            <w:tcW w:w="752" w:type="pct"/>
            <w:vAlign w:val="center"/>
          </w:tcPr>
          <w:p>
            <w:pPr>
              <w:keepNext w:val="0"/>
              <w:keepLines w:val="0"/>
              <w:pageBreakBefore w:val="0"/>
              <w:widowControl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建设时间</w:t>
            </w:r>
          </w:p>
        </w:tc>
        <w:tc>
          <w:tcPr>
            <w:tcW w:w="585" w:type="pct"/>
            <w:vAlign w:val="center"/>
          </w:tcPr>
          <w:p>
            <w:pPr>
              <w:keepNext w:val="0"/>
              <w:keepLines w:val="0"/>
              <w:pageBreakBefore w:val="0"/>
              <w:widowControl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占地面积（m</w:t>
            </w:r>
            <w:r>
              <w:rPr>
                <w:rFonts w:hint="default" w:ascii="Times New Roman" w:hAnsi="Times New Roman" w:eastAsia="宋体" w:cs="Times New Roman"/>
                <w:b/>
                <w:bCs/>
                <w:color w:val="auto"/>
                <w:sz w:val="24"/>
                <w:highlight w:val="none"/>
                <w:vertAlign w:val="superscript"/>
                <w:lang w:val="en-US" w:eastAsia="zh-CN"/>
              </w:rPr>
              <w:t>2</w:t>
            </w:r>
            <w:r>
              <w:rPr>
                <w:rFonts w:hint="default" w:ascii="Times New Roman" w:hAnsi="Times New Roman" w:eastAsia="宋体" w:cs="Times New Roman"/>
                <w:b/>
                <w:bCs/>
                <w:color w:val="auto"/>
                <w:sz w:val="24"/>
                <w:highlight w:val="none"/>
                <w:lang w:val="en-US" w:eastAsia="zh-CN"/>
              </w:rPr>
              <w:t>）</w:t>
            </w:r>
          </w:p>
        </w:tc>
      </w:tr>
      <w:tr>
        <w:tblPrEx>
          <w:tblBorders>
            <w:top w:val="thinThickSmallGap" w:color="auto" w:sz="24" w:space="0"/>
            <w:left w:val="none" w:color="auto" w:sz="0" w:space="0"/>
            <w:bottom w:val="thinThickSmallGap" w:color="auto" w:sz="2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5" w:type="pct"/>
            <w:vAlign w:val="center"/>
          </w:tcPr>
          <w:p>
            <w:pPr>
              <w:keepNext w:val="0"/>
              <w:keepLines w:val="0"/>
              <w:pageBreakBefore w:val="0"/>
              <w:widowControl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olor w:val="auto"/>
                <w:sz w:val="24"/>
                <w:highlight w:val="none"/>
                <w:lang w:val="en-US" w:eastAsia="zh-CN"/>
              </w:rPr>
            </w:pPr>
            <w:r>
              <w:rPr>
                <w:rFonts w:hint="default" w:ascii="Times New Roman" w:hAnsi="Times New Roman"/>
                <w:color w:val="auto"/>
                <w:sz w:val="24"/>
                <w:highlight w:val="none"/>
                <w:lang w:val="en-US" w:eastAsia="zh-CN"/>
              </w:rPr>
              <w:t>1</w:t>
            </w:r>
          </w:p>
        </w:tc>
        <w:tc>
          <w:tcPr>
            <w:tcW w:w="976" w:type="pct"/>
            <w:vAlign w:val="center"/>
          </w:tcPr>
          <w:p>
            <w:pPr>
              <w:keepNext w:val="0"/>
              <w:keepLines w:val="0"/>
              <w:pageBreakBefore w:val="0"/>
              <w:widowControl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新建LNG储配站</w:t>
            </w:r>
          </w:p>
        </w:tc>
        <w:tc>
          <w:tcPr>
            <w:tcW w:w="1200" w:type="pct"/>
            <w:vAlign w:val="center"/>
          </w:tcPr>
          <w:p>
            <w:pPr>
              <w:keepNext w:val="0"/>
              <w:keepLines w:val="0"/>
              <w:pageBreakBefore w:val="0"/>
              <w:widowControl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olor w:val="auto"/>
                <w:sz w:val="24"/>
                <w:highlight w:val="none"/>
                <w:lang w:val="en-US" w:eastAsia="zh-CN"/>
              </w:rPr>
            </w:pPr>
            <w:r>
              <w:rPr>
                <w:rFonts w:hint="eastAsia" w:ascii="Times New Roman" w:hAnsi="Times New Roman" w:cs="Times New Roman"/>
                <w:color w:val="auto"/>
                <w:sz w:val="24"/>
                <w:highlight w:val="none"/>
                <w:lang w:val="en-US" w:eastAsia="zh-CN"/>
              </w:rPr>
              <w:t>辽中环线高速公路南侧、经十一街南段东侧</w:t>
            </w:r>
          </w:p>
        </w:tc>
        <w:tc>
          <w:tcPr>
            <w:tcW w:w="618" w:type="pct"/>
            <w:vAlign w:val="center"/>
          </w:tcPr>
          <w:p>
            <w:pPr>
              <w:keepNext w:val="0"/>
              <w:keepLines w:val="0"/>
              <w:pageBreakBefore w:val="0"/>
              <w:widowControl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LNG储罐</w:t>
            </w:r>
          </w:p>
        </w:tc>
        <w:tc>
          <w:tcPr>
            <w:tcW w:w="671" w:type="pct"/>
            <w:vAlign w:val="center"/>
          </w:tcPr>
          <w:p>
            <w:pPr>
              <w:keepNext w:val="0"/>
              <w:keepLines w:val="0"/>
              <w:pageBreakBefore w:val="0"/>
              <w:widowControl w:val="0"/>
              <w:suppressLineNumbers w:val="0"/>
              <w:kinsoku/>
              <w:wordWrap/>
              <w:overflowPunct/>
              <w:topLinePunct w:val="0"/>
              <w:autoSpaceDE/>
              <w:autoSpaceDN/>
              <w:bidi w:val="0"/>
              <w:adjustRightInd/>
              <w:spacing w:before="100" w:beforeAutospacing="1" w:after="100" w:afterAutospacing="1" w:line="360" w:lineRule="auto"/>
              <w:ind w:left="0" w:right="0"/>
              <w:jc w:val="center"/>
              <w:textAlignment w:val="auto"/>
              <w:rPr>
                <w:rFonts w:hint="default"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50</w:t>
            </w:r>
          </w:p>
        </w:tc>
        <w:tc>
          <w:tcPr>
            <w:tcW w:w="752" w:type="pc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olor w:val="auto"/>
                <w:sz w:val="24"/>
                <w:highlight w:val="none"/>
                <w:lang w:val="en-US" w:eastAsia="zh-CN"/>
              </w:rPr>
            </w:pPr>
            <w:r>
              <w:rPr>
                <w:rFonts w:hint="eastAsia" w:ascii="Times New Roman" w:hAnsi="Times New Roman" w:cs="Times New Roman"/>
                <w:color w:val="0000FF"/>
                <w:sz w:val="24"/>
                <w:highlight w:val="none"/>
                <w:lang w:val="en-US" w:eastAsia="zh-CN"/>
              </w:rPr>
              <w:t>2031-2035年</w:t>
            </w:r>
          </w:p>
        </w:tc>
        <w:tc>
          <w:tcPr>
            <w:tcW w:w="585" w:type="pc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0000FF"/>
                <w:sz w:val="24"/>
                <w:highlight w:val="none"/>
                <w:lang w:val="en-US" w:eastAsia="zh-CN"/>
              </w:rPr>
            </w:pPr>
            <w:r>
              <w:rPr>
                <w:rFonts w:hint="eastAsia" w:ascii="Times New Roman" w:hAnsi="Times New Roman" w:cs="Times New Roman"/>
                <w:color w:val="0000FF"/>
                <w:sz w:val="24"/>
                <w:highlight w:val="none"/>
                <w:lang w:val="en-US" w:eastAsia="zh-CN"/>
              </w:rPr>
              <w:t>16000</w:t>
            </w:r>
          </w:p>
        </w:tc>
      </w:tr>
    </w:tbl>
    <w:p>
      <w:pPr>
        <w:bidi w:val="0"/>
        <w:rPr>
          <w:rFonts w:hint="eastAsia"/>
          <w:color w:val="auto"/>
          <w:highlight w:val="none"/>
        </w:rPr>
      </w:pPr>
    </w:p>
    <w:p>
      <w:pPr>
        <w:pStyle w:val="3"/>
        <w:rPr>
          <w:color w:val="auto"/>
          <w:highlight w:val="none"/>
        </w:rPr>
      </w:pPr>
      <w:bookmarkStart w:id="49" w:name="_Toc12493"/>
      <w:r>
        <w:rPr>
          <w:rFonts w:hint="eastAsia"/>
          <w:color w:val="auto"/>
          <w:highlight w:val="none"/>
        </w:rPr>
        <w:t>第</w:t>
      </w:r>
      <w:r>
        <w:rPr>
          <w:rFonts w:hint="eastAsia"/>
          <w:color w:val="auto"/>
          <w:highlight w:val="none"/>
          <w:lang w:val="en-US" w:eastAsia="zh-CN"/>
        </w:rPr>
        <w:t>十七</w:t>
      </w:r>
      <w:r>
        <w:rPr>
          <w:rFonts w:hint="eastAsia"/>
          <w:color w:val="auto"/>
          <w:highlight w:val="none"/>
        </w:rPr>
        <w:t>条：储气调峰设施规划</w:t>
      </w:r>
      <w:bookmarkEnd w:id="49"/>
    </w:p>
    <w:p>
      <w:pPr>
        <w:pStyle w:val="7"/>
        <w:ind w:firstLine="562"/>
        <w:rPr>
          <w:rFonts w:ascii="Times New Roman" w:hAnsi="Times New Roman"/>
          <w:b/>
          <w:color w:val="auto"/>
          <w:sz w:val="28"/>
          <w:szCs w:val="28"/>
          <w:highlight w:val="none"/>
          <w:lang w:bidi="th-TH"/>
        </w:rPr>
      </w:pPr>
      <w:r>
        <w:rPr>
          <w:rFonts w:ascii="Times New Roman" w:hAnsi="Times New Roman"/>
          <w:b/>
          <w:color w:val="auto"/>
          <w:sz w:val="28"/>
          <w:szCs w:val="28"/>
          <w:highlight w:val="none"/>
          <w:lang w:bidi="th-TH"/>
        </w:rPr>
        <w:t>1、季节储气调峰量</w:t>
      </w:r>
    </w:p>
    <w:p>
      <w:pPr>
        <w:spacing w:line="360" w:lineRule="auto"/>
        <w:jc w:val="center"/>
        <w:rPr>
          <w:rFonts w:ascii="Times New Roman" w:hAnsi="Times New Roman"/>
          <w:b/>
          <w:color w:val="auto"/>
          <w:kern w:val="0"/>
          <w:sz w:val="24"/>
          <w:highlight w:val="none"/>
        </w:rPr>
      </w:pPr>
      <w:r>
        <w:rPr>
          <w:rFonts w:ascii="Times New Roman" w:hAnsi="Times New Roman"/>
          <w:b/>
          <w:color w:val="auto"/>
          <w:kern w:val="0"/>
          <w:sz w:val="24"/>
          <w:highlight w:val="none"/>
        </w:rPr>
        <w:t>表</w:t>
      </w:r>
      <w:r>
        <w:rPr>
          <w:rFonts w:hint="eastAsia" w:ascii="Times New Roman" w:hAnsi="Times New Roman"/>
          <w:b/>
          <w:color w:val="auto"/>
          <w:kern w:val="0"/>
          <w:sz w:val="24"/>
          <w:highlight w:val="none"/>
          <w:lang w:val="en-US" w:eastAsia="zh-CN"/>
        </w:rPr>
        <w:t>4-7</w:t>
      </w:r>
      <w:r>
        <w:rPr>
          <w:rFonts w:ascii="Times New Roman" w:hAnsi="Times New Roman"/>
          <w:b/>
          <w:color w:val="auto"/>
          <w:kern w:val="0"/>
          <w:sz w:val="24"/>
          <w:highlight w:val="none"/>
        </w:rPr>
        <w:t xml:space="preserve"> </w:t>
      </w:r>
      <w:r>
        <w:rPr>
          <w:rFonts w:hint="eastAsia" w:ascii="Times New Roman" w:hAnsi="Times New Roman"/>
          <w:b/>
          <w:color w:val="auto"/>
          <w:kern w:val="0"/>
          <w:sz w:val="24"/>
          <w:highlight w:val="none"/>
        </w:rPr>
        <w:t xml:space="preserve"> </w:t>
      </w:r>
      <w:r>
        <w:rPr>
          <w:rFonts w:ascii="Times New Roman" w:hAnsi="Times New Roman"/>
          <w:b/>
          <w:color w:val="auto"/>
          <w:kern w:val="0"/>
          <w:sz w:val="24"/>
          <w:highlight w:val="none"/>
        </w:rPr>
        <w:t>季节调峰量计算表</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508"/>
        <w:gridCol w:w="1950"/>
        <w:gridCol w:w="2061"/>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thinThickSmallGap" w:color="auto" w:sz="24" w:space="0"/>
              <w:left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1675" w:type="pct"/>
            <w:tcBorders>
              <w:top w:val="thinThickSmallGap" w:color="auto" w:sz="2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tc>
        <w:tc>
          <w:tcPr>
            <w:tcW w:w="931" w:type="pct"/>
            <w:tcBorders>
              <w:top w:val="thinThickSmallGap" w:color="auto" w:sz="2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2025年</w:t>
            </w:r>
          </w:p>
        </w:tc>
        <w:tc>
          <w:tcPr>
            <w:tcW w:w="984" w:type="pct"/>
            <w:tcBorders>
              <w:top w:val="thinThickSmallGap" w:color="auto" w:sz="24" w:space="0"/>
              <w:right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2030年</w:t>
            </w:r>
          </w:p>
        </w:tc>
        <w:tc>
          <w:tcPr>
            <w:tcW w:w="1002" w:type="pct"/>
            <w:tcBorders>
              <w:top w:val="thinThickSmallGap" w:color="auto" w:sz="24" w:space="0"/>
              <w:right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left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675" w:type="pc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年用气量（10</w:t>
            </w:r>
            <w:r>
              <w:rPr>
                <w:rFonts w:hint="default" w:ascii="Times New Roman" w:hAnsi="Times New Roman" w:eastAsia="宋体" w:cs="Times New Roman"/>
                <w:color w:val="auto"/>
                <w:sz w:val="24"/>
                <w:highlight w:val="none"/>
                <w:vertAlign w:val="superscript"/>
              </w:rPr>
              <w:t>4</w:t>
            </w:r>
            <w:r>
              <w:rPr>
                <w:rFonts w:hint="default" w:ascii="Times New Roman" w:hAnsi="Times New Roman" w:eastAsia="宋体" w:cs="Times New Roman"/>
                <w:color w:val="auto"/>
                <w:sz w:val="24"/>
                <w:highlight w:val="none"/>
              </w:rPr>
              <w:t>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/a）</w:t>
            </w:r>
          </w:p>
        </w:tc>
        <w:tc>
          <w:tcPr>
            <w:tcW w:w="931"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9274.30</w:t>
            </w:r>
          </w:p>
        </w:tc>
        <w:tc>
          <w:tcPr>
            <w:tcW w:w="984" w:type="pct"/>
            <w:tcBorders>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eastAsia="宋体" w:cs="Times New Roman"/>
                <w:i w:val="0"/>
                <w:color w:val="0000FF"/>
                <w:kern w:val="0"/>
                <w:sz w:val="24"/>
                <w:szCs w:val="24"/>
                <w:highlight w:val="none"/>
                <w:u w:val="none"/>
                <w:lang w:val="en-US" w:eastAsia="zh-CN" w:bidi="ar"/>
              </w:rPr>
              <w:t>14029.73</w:t>
            </w:r>
          </w:p>
        </w:tc>
        <w:tc>
          <w:tcPr>
            <w:tcW w:w="1002" w:type="pct"/>
            <w:tcBorders>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eastAsia="宋体" w:cs="Times New Roman"/>
                <w:i w:val="0"/>
                <w:color w:val="0000FF"/>
                <w:kern w:val="0"/>
                <w:sz w:val="24"/>
                <w:szCs w:val="24"/>
                <w:highlight w:val="none"/>
                <w:u w:val="none"/>
                <w:lang w:val="en-US" w:eastAsia="zh-CN" w:bidi="ar"/>
              </w:rPr>
              <w:t>16835.68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left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675" w:type="pc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季节储气调峰量（10</w:t>
            </w:r>
            <w:r>
              <w:rPr>
                <w:rFonts w:hint="default" w:ascii="Times New Roman" w:hAnsi="Times New Roman" w:eastAsia="宋体" w:cs="Times New Roman"/>
                <w:color w:val="auto"/>
                <w:sz w:val="24"/>
                <w:highlight w:val="none"/>
                <w:vertAlign w:val="superscript"/>
              </w:rPr>
              <w:t>4</w:t>
            </w:r>
            <w:r>
              <w:rPr>
                <w:rFonts w:hint="default" w:ascii="Times New Roman" w:hAnsi="Times New Roman" w:eastAsia="宋体" w:cs="Times New Roman"/>
                <w:color w:val="auto"/>
                <w:sz w:val="24"/>
                <w:highlight w:val="none"/>
              </w:rPr>
              <w:t>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w:t>
            </w:r>
          </w:p>
        </w:tc>
        <w:tc>
          <w:tcPr>
            <w:tcW w:w="931"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324.60</w:t>
            </w:r>
          </w:p>
        </w:tc>
        <w:tc>
          <w:tcPr>
            <w:tcW w:w="984" w:type="pct"/>
            <w:tcBorders>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eastAsia="宋体" w:cs="Times New Roman"/>
                <w:i w:val="0"/>
                <w:color w:val="0000FF"/>
                <w:kern w:val="0"/>
                <w:sz w:val="24"/>
                <w:szCs w:val="24"/>
                <w:highlight w:val="none"/>
                <w:u w:val="none"/>
                <w:lang w:val="en-US" w:eastAsia="zh-CN" w:bidi="ar"/>
              </w:rPr>
              <w:t>491.04</w:t>
            </w:r>
          </w:p>
        </w:tc>
        <w:tc>
          <w:tcPr>
            <w:tcW w:w="1002" w:type="pct"/>
            <w:tcBorders>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eastAsia="宋体" w:cs="Times New Roman"/>
                <w:i w:val="0"/>
                <w:color w:val="0000FF"/>
                <w:kern w:val="0"/>
                <w:sz w:val="24"/>
                <w:szCs w:val="24"/>
                <w:highlight w:val="none"/>
                <w:u w:val="none"/>
                <w:lang w:val="en-US" w:eastAsia="zh-CN" w:bidi="ar"/>
              </w:rPr>
              <w:t>589.25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left w:val="nil"/>
              <w:bottom w:val="thickThinSmallGap" w:color="auto" w:sz="2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675" w:type="pct"/>
            <w:tcBorders>
              <w:bottom w:val="thickThinSmallGap" w:color="auto" w:sz="2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储气系数（以年用气量为100%）</w:t>
            </w:r>
          </w:p>
        </w:tc>
        <w:tc>
          <w:tcPr>
            <w:tcW w:w="931" w:type="pct"/>
            <w:tcBorders>
              <w:bottom w:val="thickThinSmallGap" w:color="auto" w:sz="2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3.50%</w:t>
            </w:r>
          </w:p>
        </w:tc>
        <w:tc>
          <w:tcPr>
            <w:tcW w:w="984" w:type="pct"/>
            <w:tcBorders>
              <w:bottom w:val="thickThinSmallGap" w:color="auto" w:sz="2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eastAsia="宋体" w:cs="Times New Roman"/>
                <w:i w:val="0"/>
                <w:color w:val="0000FF"/>
                <w:kern w:val="0"/>
                <w:sz w:val="24"/>
                <w:szCs w:val="24"/>
                <w:highlight w:val="none"/>
                <w:u w:val="none"/>
                <w:lang w:val="en-US" w:eastAsia="zh-CN" w:bidi="ar"/>
              </w:rPr>
              <w:t>3.50%</w:t>
            </w:r>
          </w:p>
        </w:tc>
        <w:tc>
          <w:tcPr>
            <w:tcW w:w="1002" w:type="pct"/>
            <w:tcBorders>
              <w:bottom w:val="thickThinSmallGap" w:color="auto" w:sz="2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eastAsia="宋体" w:cs="Times New Roman"/>
                <w:i w:val="0"/>
                <w:color w:val="0000FF"/>
                <w:kern w:val="0"/>
                <w:sz w:val="24"/>
                <w:szCs w:val="24"/>
                <w:highlight w:val="none"/>
                <w:u w:val="none"/>
                <w:lang w:val="en-US" w:eastAsia="zh-CN" w:bidi="ar"/>
              </w:rPr>
              <w:t>3.50%</w:t>
            </w:r>
          </w:p>
        </w:tc>
      </w:tr>
    </w:tbl>
    <w:p>
      <w:pPr>
        <w:bidi w:val="0"/>
        <w:rPr>
          <w:color w:val="auto"/>
          <w:highlight w:val="none"/>
        </w:rPr>
      </w:pPr>
    </w:p>
    <w:p>
      <w:pPr>
        <w:pStyle w:val="7"/>
        <w:ind w:firstLine="562"/>
        <w:rPr>
          <w:rFonts w:ascii="Times New Roman" w:hAnsi="Times New Roman"/>
          <w:b/>
          <w:color w:val="auto"/>
          <w:sz w:val="28"/>
          <w:szCs w:val="28"/>
          <w:highlight w:val="none"/>
          <w:lang w:bidi="th-TH"/>
        </w:rPr>
      </w:pPr>
      <w:r>
        <w:rPr>
          <w:rFonts w:ascii="Times New Roman" w:hAnsi="Times New Roman"/>
          <w:b/>
          <w:color w:val="auto"/>
          <w:sz w:val="28"/>
          <w:szCs w:val="28"/>
          <w:highlight w:val="none"/>
          <w:lang w:bidi="th-TH"/>
        </w:rPr>
        <w:t>2、日储气调峰量</w:t>
      </w:r>
    </w:p>
    <w:p>
      <w:pPr>
        <w:spacing w:line="360" w:lineRule="auto"/>
        <w:jc w:val="center"/>
        <w:rPr>
          <w:rFonts w:ascii="Times New Roman" w:hAnsi="Times New Roman"/>
          <w:b/>
          <w:color w:val="auto"/>
          <w:kern w:val="0"/>
          <w:sz w:val="24"/>
          <w:highlight w:val="none"/>
        </w:rPr>
      </w:pPr>
      <w:r>
        <w:rPr>
          <w:rFonts w:ascii="Times New Roman" w:hAnsi="Times New Roman"/>
          <w:b/>
          <w:color w:val="auto"/>
          <w:kern w:val="0"/>
          <w:sz w:val="24"/>
          <w:highlight w:val="none"/>
        </w:rPr>
        <w:t>表</w:t>
      </w:r>
      <w:r>
        <w:rPr>
          <w:rFonts w:hint="eastAsia" w:ascii="Times New Roman" w:hAnsi="Times New Roman"/>
          <w:b/>
          <w:color w:val="auto"/>
          <w:kern w:val="0"/>
          <w:sz w:val="24"/>
          <w:highlight w:val="none"/>
          <w:lang w:val="en-US" w:eastAsia="zh-CN"/>
        </w:rPr>
        <w:t>4-8</w:t>
      </w:r>
      <w:r>
        <w:rPr>
          <w:rFonts w:ascii="Times New Roman" w:hAnsi="Times New Roman"/>
          <w:b/>
          <w:color w:val="auto"/>
          <w:kern w:val="0"/>
          <w:sz w:val="24"/>
          <w:highlight w:val="none"/>
        </w:rPr>
        <w:t xml:space="preserve">  日调峰量计算表</w:t>
      </w:r>
    </w:p>
    <w:tbl>
      <w:tblPr>
        <w:tblStyle w:val="29"/>
        <w:tblW w:w="4998" w:type="pct"/>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3750"/>
        <w:gridCol w:w="2008"/>
        <w:gridCol w:w="1759"/>
        <w:gridCol w:w="1759"/>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8"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1791"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tc>
        <w:tc>
          <w:tcPr>
            <w:tcW w:w="95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2025年</w:t>
            </w:r>
          </w:p>
        </w:tc>
        <w:tc>
          <w:tcPr>
            <w:tcW w:w="840"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2030年</w:t>
            </w:r>
          </w:p>
        </w:tc>
        <w:tc>
          <w:tcPr>
            <w:tcW w:w="840"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2035年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8"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791"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日储气调峰量（10</w:t>
            </w:r>
            <w:r>
              <w:rPr>
                <w:rFonts w:hint="default" w:ascii="Times New Roman" w:hAnsi="Times New Roman" w:eastAsia="宋体" w:cs="Times New Roman"/>
                <w:color w:val="auto"/>
                <w:sz w:val="24"/>
                <w:highlight w:val="none"/>
                <w:vertAlign w:val="superscript"/>
              </w:rPr>
              <w:t>4</w:t>
            </w:r>
            <w:r>
              <w:rPr>
                <w:rFonts w:hint="default" w:ascii="Times New Roman" w:hAnsi="Times New Roman" w:eastAsia="宋体" w:cs="Times New Roman"/>
                <w:color w:val="auto"/>
                <w:sz w:val="24"/>
                <w:highlight w:val="none"/>
              </w:rPr>
              <w:t>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/a）</w:t>
            </w:r>
          </w:p>
        </w:tc>
        <w:tc>
          <w:tcPr>
            <w:tcW w:w="2008"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26.45</w:t>
            </w:r>
          </w:p>
        </w:tc>
        <w:tc>
          <w:tcPr>
            <w:tcW w:w="1759"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40.01</w:t>
            </w:r>
          </w:p>
        </w:tc>
        <w:tc>
          <w:tcPr>
            <w:tcW w:w="1759"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48.02</w:t>
            </w:r>
          </w:p>
        </w:tc>
      </w:tr>
    </w:tbl>
    <w:p>
      <w:pPr>
        <w:bidi w:val="0"/>
        <w:rPr>
          <w:color w:val="auto"/>
          <w:highlight w:val="none"/>
        </w:rPr>
      </w:pPr>
    </w:p>
    <w:p>
      <w:pPr>
        <w:pStyle w:val="7"/>
        <w:ind w:firstLine="562"/>
        <w:rPr>
          <w:rFonts w:ascii="Times New Roman" w:hAnsi="Times New Roman"/>
          <w:b/>
          <w:color w:val="auto"/>
          <w:kern w:val="0"/>
          <w:szCs w:val="24"/>
          <w:highlight w:val="none"/>
        </w:rPr>
      </w:pPr>
      <w:r>
        <w:rPr>
          <w:rFonts w:ascii="Times New Roman" w:hAnsi="Times New Roman"/>
          <w:b/>
          <w:color w:val="auto"/>
          <w:sz w:val="28"/>
          <w:szCs w:val="28"/>
          <w:highlight w:val="none"/>
          <w:lang w:bidi="th-TH"/>
        </w:rPr>
        <w:t>3、小时储气调峰量</w:t>
      </w:r>
    </w:p>
    <w:p>
      <w:pPr>
        <w:spacing w:line="360" w:lineRule="auto"/>
        <w:jc w:val="center"/>
        <w:rPr>
          <w:rFonts w:ascii="Times New Roman" w:hAnsi="Times New Roman"/>
          <w:b/>
          <w:color w:val="auto"/>
          <w:kern w:val="0"/>
          <w:sz w:val="24"/>
          <w:highlight w:val="none"/>
        </w:rPr>
      </w:pPr>
      <w:r>
        <w:rPr>
          <w:rFonts w:ascii="Times New Roman" w:hAnsi="Times New Roman"/>
          <w:b/>
          <w:color w:val="auto"/>
          <w:kern w:val="0"/>
          <w:sz w:val="24"/>
          <w:highlight w:val="none"/>
        </w:rPr>
        <w:t>表</w:t>
      </w:r>
      <w:r>
        <w:rPr>
          <w:rFonts w:hint="eastAsia" w:ascii="Times New Roman" w:hAnsi="Times New Roman"/>
          <w:b/>
          <w:color w:val="auto"/>
          <w:kern w:val="0"/>
          <w:sz w:val="24"/>
          <w:highlight w:val="none"/>
          <w:lang w:val="en-US" w:eastAsia="zh-CN"/>
        </w:rPr>
        <w:t>4-9</w:t>
      </w:r>
      <w:r>
        <w:rPr>
          <w:rFonts w:ascii="Times New Roman" w:hAnsi="Times New Roman"/>
          <w:b/>
          <w:color w:val="auto"/>
          <w:kern w:val="0"/>
          <w:sz w:val="24"/>
          <w:highlight w:val="none"/>
        </w:rPr>
        <w:t xml:space="preserve">  小时调峰量计算表</w:t>
      </w:r>
    </w:p>
    <w:tbl>
      <w:tblPr>
        <w:tblStyle w:val="29"/>
        <w:tblW w:w="4998" w:type="pct"/>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4005"/>
        <w:gridCol w:w="1987"/>
        <w:gridCol w:w="1763"/>
        <w:gridCol w:w="1750"/>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1913"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tc>
        <w:tc>
          <w:tcPr>
            <w:tcW w:w="94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2025年</w:t>
            </w:r>
          </w:p>
        </w:tc>
        <w:tc>
          <w:tcPr>
            <w:tcW w:w="84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2030年</w:t>
            </w:r>
          </w:p>
        </w:tc>
        <w:tc>
          <w:tcPr>
            <w:tcW w:w="836"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2035年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913"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计算月最大日用气量（10</w:t>
            </w:r>
            <w:r>
              <w:rPr>
                <w:rFonts w:hint="default" w:ascii="Times New Roman" w:hAnsi="Times New Roman" w:eastAsia="宋体" w:cs="Times New Roman"/>
                <w:color w:val="auto"/>
                <w:sz w:val="24"/>
                <w:highlight w:val="none"/>
                <w:vertAlign w:val="superscript"/>
              </w:rPr>
              <w:t>4</w:t>
            </w:r>
            <w:r>
              <w:rPr>
                <w:rFonts w:hint="default" w:ascii="Times New Roman" w:hAnsi="Times New Roman" w:eastAsia="宋体" w:cs="Times New Roman"/>
                <w:color w:val="auto"/>
                <w:sz w:val="24"/>
                <w:highlight w:val="none"/>
              </w:rPr>
              <w:t>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/a）</w:t>
            </w:r>
          </w:p>
        </w:tc>
        <w:tc>
          <w:tcPr>
            <w:tcW w:w="94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34.01</w:t>
            </w:r>
          </w:p>
        </w:tc>
        <w:tc>
          <w:tcPr>
            <w:tcW w:w="84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51.44</w:t>
            </w:r>
          </w:p>
        </w:tc>
        <w:tc>
          <w:tcPr>
            <w:tcW w:w="836"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61.73</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913"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小时储气调峰量（10</w:t>
            </w:r>
            <w:r>
              <w:rPr>
                <w:rFonts w:hint="default" w:ascii="Times New Roman" w:hAnsi="Times New Roman" w:eastAsia="宋体" w:cs="Times New Roman"/>
                <w:color w:val="auto"/>
                <w:sz w:val="24"/>
                <w:highlight w:val="none"/>
                <w:vertAlign w:val="superscript"/>
              </w:rPr>
              <w:t>4</w:t>
            </w:r>
            <w:r>
              <w:rPr>
                <w:rFonts w:hint="default" w:ascii="Times New Roman" w:hAnsi="Times New Roman" w:eastAsia="宋体" w:cs="Times New Roman"/>
                <w:color w:val="auto"/>
                <w:sz w:val="24"/>
                <w:highlight w:val="none"/>
              </w:rPr>
              <w:t>Nm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w:t>
            </w:r>
          </w:p>
        </w:tc>
        <w:tc>
          <w:tcPr>
            <w:tcW w:w="94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3.83</w:t>
            </w:r>
          </w:p>
        </w:tc>
        <w:tc>
          <w:tcPr>
            <w:tcW w:w="84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5.80</w:t>
            </w:r>
          </w:p>
        </w:tc>
        <w:tc>
          <w:tcPr>
            <w:tcW w:w="836"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6.95</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913"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储气系数（以日用气量为100%）</w:t>
            </w:r>
          </w:p>
        </w:tc>
        <w:tc>
          <w:tcPr>
            <w:tcW w:w="94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11.27%</w:t>
            </w:r>
          </w:p>
        </w:tc>
        <w:tc>
          <w:tcPr>
            <w:tcW w:w="84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11.27%</w:t>
            </w:r>
          </w:p>
        </w:tc>
        <w:tc>
          <w:tcPr>
            <w:tcW w:w="836"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0000FF"/>
                <w:sz w:val="24"/>
                <w:highlight w:val="none"/>
                <w:lang w:val="en-US" w:eastAsia="zh-CN"/>
              </w:rPr>
              <w:t>11.27%</w:t>
            </w:r>
          </w:p>
        </w:tc>
      </w:tr>
    </w:tbl>
    <w:p>
      <w:pPr>
        <w:bidi w:val="0"/>
        <w:rPr>
          <w:color w:val="auto"/>
          <w:highlight w:val="none"/>
        </w:rPr>
      </w:pPr>
    </w:p>
    <w:p>
      <w:pPr>
        <w:pStyle w:val="7"/>
        <w:ind w:firstLine="562"/>
        <w:rPr>
          <w:rFonts w:ascii="Times New Roman" w:hAnsi="Times New Roman"/>
          <w:b/>
          <w:color w:val="auto"/>
          <w:sz w:val="28"/>
          <w:szCs w:val="28"/>
          <w:highlight w:val="none"/>
          <w:lang w:bidi="th-TH"/>
        </w:rPr>
      </w:pPr>
      <w:r>
        <w:rPr>
          <w:rFonts w:ascii="Times New Roman" w:hAnsi="Times New Roman"/>
          <w:b/>
          <w:color w:val="auto"/>
          <w:sz w:val="28"/>
          <w:szCs w:val="28"/>
          <w:highlight w:val="none"/>
          <w:lang w:bidi="th-TH"/>
        </w:rPr>
        <w:t>4、储气调峰设施规划</w:t>
      </w:r>
    </w:p>
    <w:p>
      <w:pPr>
        <w:spacing w:line="360" w:lineRule="auto"/>
        <w:ind w:firstLine="560" w:firstLineChars="200"/>
        <w:rPr>
          <w:rFonts w:ascii="Times New Roman" w:hAnsi="Times New Roman" w:eastAsia="宋体" w:cs="Times New Roman"/>
          <w:color w:val="auto"/>
          <w:sz w:val="28"/>
          <w:szCs w:val="28"/>
          <w:highlight w:val="none"/>
        </w:rPr>
      </w:pPr>
      <w:bookmarkStart w:id="50" w:name="_Hlk97453400"/>
      <w:r>
        <w:rPr>
          <w:rFonts w:ascii="Times New Roman" w:hAnsi="Times New Roman" w:eastAsia="宋体" w:cs="Times New Roman"/>
          <w:color w:val="auto"/>
          <w:sz w:val="28"/>
          <w:szCs w:val="28"/>
          <w:highlight w:val="none"/>
        </w:rPr>
        <w:t>已建设的</w:t>
      </w:r>
      <w:r>
        <w:rPr>
          <w:rFonts w:hint="eastAsia" w:ascii="Times New Roman" w:hAnsi="Times New Roman" w:eastAsia="宋体" w:cs="Times New Roman"/>
          <w:color w:val="auto"/>
          <w:sz w:val="28"/>
          <w:szCs w:val="28"/>
          <w:highlight w:val="none"/>
          <w:lang w:val="en-US" w:eastAsia="zh-CN"/>
        </w:rPr>
        <w:t>次高压</w:t>
      </w:r>
      <w:r>
        <w:rPr>
          <w:rFonts w:ascii="Times New Roman" w:hAnsi="Times New Roman" w:eastAsia="宋体" w:cs="Times New Roman"/>
          <w:color w:val="auto"/>
          <w:sz w:val="28"/>
          <w:szCs w:val="28"/>
          <w:highlight w:val="none"/>
        </w:rPr>
        <w:t>管道的储气量约为</w:t>
      </w:r>
      <w:r>
        <w:rPr>
          <w:rFonts w:hint="eastAsia" w:ascii="Times New Roman" w:hAnsi="Times New Roman" w:eastAsia="宋体" w:cs="Times New Roman"/>
          <w:color w:val="auto"/>
          <w:sz w:val="28"/>
          <w:szCs w:val="28"/>
          <w:highlight w:val="none"/>
          <w:lang w:val="en-US" w:eastAsia="zh-CN"/>
        </w:rPr>
        <w:t>0.21</w:t>
      </w:r>
      <w:r>
        <w:rPr>
          <w:rFonts w:ascii="Times New Roman" w:hAnsi="Times New Roman" w:eastAsia="宋体" w:cs="Times New Roman"/>
          <w:color w:val="auto"/>
          <w:sz w:val="28"/>
          <w:szCs w:val="28"/>
          <w:highlight w:val="none"/>
        </w:rPr>
        <w:t>×10</w:t>
      </w:r>
      <w:r>
        <w:rPr>
          <w:rFonts w:ascii="Times New Roman" w:hAnsi="Times New Roman" w:eastAsia="宋体" w:cs="Times New Roman"/>
          <w:color w:val="auto"/>
          <w:sz w:val="28"/>
          <w:szCs w:val="28"/>
          <w:highlight w:val="none"/>
          <w:vertAlign w:val="superscript"/>
        </w:rPr>
        <w:t>4</w:t>
      </w:r>
      <w:r>
        <w:rPr>
          <w:rFonts w:hint="eastAsia" w:ascii="Times New Roman" w:hAnsi="Times New Roman" w:eastAsia="宋体" w:cs="Times New Roman"/>
          <w:color w:val="auto"/>
          <w:sz w:val="28"/>
          <w:szCs w:val="28"/>
          <w:highlight w:val="none"/>
        </w:rPr>
        <w:t>N</w:t>
      </w:r>
      <w:r>
        <w:rPr>
          <w:rFonts w:ascii="Times New Roman" w:hAnsi="Times New Roman" w:eastAsia="宋体" w:cs="Times New Roman"/>
          <w:color w:val="auto"/>
          <w:sz w:val="28"/>
          <w:szCs w:val="28"/>
          <w:highlight w:val="none"/>
        </w:rPr>
        <w:t>m</w:t>
      </w:r>
      <w:r>
        <w:rPr>
          <w:rFonts w:ascii="Times New Roman" w:hAnsi="Times New Roman" w:eastAsia="宋体" w:cs="Times New Roman"/>
          <w:color w:val="auto"/>
          <w:sz w:val="28"/>
          <w:szCs w:val="28"/>
          <w:highlight w:val="none"/>
          <w:vertAlign w:val="superscript"/>
        </w:rPr>
        <w:t>3</w:t>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现状</w:t>
      </w:r>
      <w:r>
        <w:rPr>
          <w:rFonts w:ascii="Times New Roman" w:hAnsi="Times New Roman" w:eastAsia="宋体" w:cs="Times New Roman"/>
          <w:color w:val="auto"/>
          <w:sz w:val="28"/>
          <w:szCs w:val="28"/>
          <w:highlight w:val="none"/>
        </w:rPr>
        <w:t>储配站有效储气量为</w:t>
      </w:r>
      <w:r>
        <w:rPr>
          <w:rFonts w:hint="eastAsia" w:ascii="Times New Roman" w:hAnsi="Times New Roman" w:eastAsia="宋体" w:cs="Times New Roman"/>
          <w:color w:val="auto"/>
          <w:sz w:val="28"/>
          <w:szCs w:val="28"/>
          <w:highlight w:val="none"/>
          <w:lang w:val="en-US" w:eastAsia="zh-CN"/>
        </w:rPr>
        <w:t>9.72</w:t>
      </w:r>
      <w:r>
        <w:rPr>
          <w:rFonts w:ascii="Times New Roman" w:hAnsi="Times New Roman" w:eastAsia="宋体" w:cs="Times New Roman"/>
          <w:color w:val="auto"/>
          <w:sz w:val="28"/>
          <w:szCs w:val="28"/>
          <w:highlight w:val="none"/>
        </w:rPr>
        <w:t>×10</w:t>
      </w:r>
      <w:r>
        <w:rPr>
          <w:rFonts w:ascii="Times New Roman" w:hAnsi="Times New Roman" w:eastAsia="宋体" w:cs="Times New Roman"/>
          <w:color w:val="auto"/>
          <w:sz w:val="28"/>
          <w:szCs w:val="28"/>
          <w:highlight w:val="none"/>
          <w:vertAlign w:val="superscript"/>
        </w:rPr>
        <w:t>4</w:t>
      </w:r>
      <w:r>
        <w:rPr>
          <w:rFonts w:hint="eastAsia" w:ascii="Times New Roman" w:hAnsi="Times New Roman" w:eastAsia="宋体" w:cs="Times New Roman"/>
          <w:color w:val="auto"/>
          <w:sz w:val="28"/>
          <w:szCs w:val="28"/>
          <w:highlight w:val="none"/>
        </w:rPr>
        <w:t>N</w:t>
      </w:r>
      <w:r>
        <w:rPr>
          <w:rFonts w:ascii="Times New Roman" w:hAnsi="Times New Roman" w:eastAsia="宋体" w:cs="Times New Roman"/>
          <w:color w:val="auto"/>
          <w:sz w:val="28"/>
          <w:szCs w:val="28"/>
          <w:highlight w:val="none"/>
        </w:rPr>
        <w:t>m</w:t>
      </w:r>
      <w:r>
        <w:rPr>
          <w:rFonts w:ascii="Times New Roman" w:hAnsi="Times New Roman" w:eastAsia="宋体" w:cs="Times New Roman"/>
          <w:color w:val="auto"/>
          <w:sz w:val="28"/>
          <w:szCs w:val="28"/>
          <w:highlight w:val="none"/>
          <w:vertAlign w:val="superscript"/>
        </w:rPr>
        <w:t>3</w:t>
      </w:r>
      <w:r>
        <w:rPr>
          <w:rFonts w:hint="eastAsia" w:ascii="Times New Roman" w:hAnsi="Times New Roman" w:eastAsia="宋体" w:cs="Times New Roman"/>
          <w:color w:val="auto"/>
          <w:sz w:val="28"/>
          <w:szCs w:val="28"/>
          <w:highlight w:val="none"/>
          <w:lang w:eastAsia="zh-CN"/>
        </w:rPr>
        <w:t>，</w:t>
      </w:r>
      <w:r>
        <w:rPr>
          <w:rFonts w:ascii="Times New Roman" w:hAnsi="Times New Roman" w:eastAsia="宋体" w:cs="Times New Roman"/>
          <w:color w:val="auto"/>
          <w:sz w:val="28"/>
          <w:szCs w:val="28"/>
          <w:highlight w:val="none"/>
        </w:rPr>
        <w:t>合计</w:t>
      </w:r>
      <w:r>
        <w:rPr>
          <w:rFonts w:hint="eastAsia" w:ascii="Times New Roman" w:hAnsi="Times New Roman" w:eastAsia="宋体" w:cs="Times New Roman"/>
          <w:color w:val="auto"/>
          <w:sz w:val="28"/>
          <w:szCs w:val="28"/>
          <w:highlight w:val="none"/>
          <w:lang w:val="en-US" w:eastAsia="zh-CN"/>
        </w:rPr>
        <w:t>9.93</w:t>
      </w:r>
      <w:r>
        <w:rPr>
          <w:rFonts w:ascii="Times New Roman" w:hAnsi="Times New Roman" w:eastAsia="宋体" w:cs="Times New Roman"/>
          <w:color w:val="auto"/>
          <w:sz w:val="28"/>
          <w:szCs w:val="28"/>
          <w:highlight w:val="none"/>
        </w:rPr>
        <w:t>×10</w:t>
      </w:r>
      <w:r>
        <w:rPr>
          <w:rFonts w:ascii="Times New Roman" w:hAnsi="Times New Roman" w:eastAsia="宋体" w:cs="Times New Roman"/>
          <w:color w:val="auto"/>
          <w:sz w:val="28"/>
          <w:szCs w:val="28"/>
          <w:highlight w:val="none"/>
          <w:vertAlign w:val="superscript"/>
        </w:rPr>
        <w:t>4</w:t>
      </w:r>
      <w:r>
        <w:rPr>
          <w:rFonts w:hint="eastAsia" w:ascii="Times New Roman" w:hAnsi="Times New Roman" w:eastAsia="宋体" w:cs="Times New Roman"/>
          <w:color w:val="auto"/>
          <w:sz w:val="28"/>
          <w:szCs w:val="28"/>
          <w:highlight w:val="none"/>
        </w:rPr>
        <w:t>N</w:t>
      </w:r>
      <w:r>
        <w:rPr>
          <w:rFonts w:ascii="Times New Roman" w:hAnsi="Times New Roman" w:eastAsia="宋体" w:cs="Times New Roman"/>
          <w:color w:val="auto"/>
          <w:sz w:val="28"/>
          <w:szCs w:val="28"/>
          <w:highlight w:val="none"/>
        </w:rPr>
        <w:t>m</w:t>
      </w:r>
      <w:r>
        <w:rPr>
          <w:rFonts w:ascii="Times New Roman" w:hAnsi="Times New Roman" w:eastAsia="宋体" w:cs="Times New Roman"/>
          <w:color w:val="auto"/>
          <w:sz w:val="28"/>
          <w:szCs w:val="28"/>
          <w:highlight w:val="none"/>
          <w:vertAlign w:val="superscript"/>
        </w:rPr>
        <w:t>3</w:t>
      </w:r>
      <w:r>
        <w:rPr>
          <w:rFonts w:ascii="Times New Roman" w:hAnsi="Times New Roman" w:eastAsia="宋体" w:cs="Times New Roman"/>
          <w:color w:val="auto"/>
          <w:sz w:val="28"/>
          <w:szCs w:val="28"/>
          <w:highlight w:val="none"/>
        </w:rPr>
        <w:t>。</w:t>
      </w:r>
      <w:bookmarkStart w:id="51" w:name="_Hlk98754957"/>
    </w:p>
    <w:p>
      <w:pPr>
        <w:spacing w:line="360" w:lineRule="auto"/>
        <w:ind w:firstLine="560" w:firstLineChars="200"/>
        <w:rPr>
          <w:rFonts w:hint="eastAsia" w:ascii="Times New Roman" w:hAnsi="Times New Roman" w:eastAsia="宋体" w:cs="Times New Roman"/>
          <w:color w:val="0000FF"/>
          <w:sz w:val="28"/>
          <w:szCs w:val="28"/>
          <w:highlight w:val="none"/>
          <w:lang w:eastAsia="zh-CN"/>
        </w:rPr>
      </w:pPr>
      <w:r>
        <w:rPr>
          <w:rFonts w:hint="eastAsia" w:ascii="Times New Roman" w:hAnsi="Times New Roman" w:eastAsia="宋体" w:cs="Times New Roman"/>
          <w:color w:val="0000FF"/>
          <w:sz w:val="28"/>
          <w:szCs w:val="28"/>
          <w:highlight w:val="none"/>
          <w:lang w:val="en-US" w:eastAsia="zh-CN"/>
        </w:rPr>
        <w:t>2025年</w:t>
      </w:r>
      <w:r>
        <w:rPr>
          <w:rFonts w:ascii="Times New Roman" w:hAnsi="Times New Roman" w:eastAsia="宋体" w:cs="Times New Roman"/>
          <w:color w:val="0000FF"/>
          <w:sz w:val="28"/>
          <w:szCs w:val="28"/>
          <w:highlight w:val="none"/>
        </w:rPr>
        <w:t>新建</w:t>
      </w:r>
      <w:r>
        <w:rPr>
          <w:rFonts w:hint="eastAsia" w:ascii="Times New Roman" w:hAnsi="Times New Roman" w:eastAsia="宋体" w:cs="Times New Roman"/>
          <w:color w:val="0000FF"/>
          <w:sz w:val="28"/>
          <w:szCs w:val="28"/>
          <w:highlight w:val="none"/>
          <w:lang w:val="en-US" w:eastAsia="zh-CN"/>
        </w:rPr>
        <w:t>次高压</w:t>
      </w:r>
      <w:r>
        <w:rPr>
          <w:rFonts w:ascii="Times New Roman" w:hAnsi="Times New Roman" w:eastAsia="宋体" w:cs="Times New Roman"/>
          <w:color w:val="0000FF"/>
          <w:sz w:val="28"/>
          <w:szCs w:val="28"/>
          <w:highlight w:val="none"/>
        </w:rPr>
        <w:t>管道储气量</w:t>
      </w:r>
      <w:r>
        <w:rPr>
          <w:rFonts w:hint="eastAsia" w:ascii="Times New Roman" w:hAnsi="Times New Roman" w:eastAsia="宋体" w:cs="Times New Roman"/>
          <w:color w:val="0000FF"/>
          <w:sz w:val="28"/>
          <w:szCs w:val="28"/>
          <w:highlight w:val="none"/>
        </w:rPr>
        <w:t>约</w:t>
      </w:r>
      <w:r>
        <w:rPr>
          <w:rFonts w:ascii="Times New Roman" w:hAnsi="Times New Roman" w:eastAsia="宋体" w:cs="Times New Roman"/>
          <w:color w:val="0000FF"/>
          <w:sz w:val="28"/>
          <w:szCs w:val="28"/>
          <w:highlight w:val="none"/>
        </w:rPr>
        <w:t>为</w:t>
      </w:r>
      <w:r>
        <w:rPr>
          <w:rFonts w:hint="eastAsia" w:ascii="Times New Roman" w:hAnsi="Times New Roman" w:eastAsia="宋体" w:cs="Times New Roman"/>
          <w:color w:val="0000FF"/>
          <w:sz w:val="28"/>
          <w:szCs w:val="28"/>
          <w:highlight w:val="none"/>
          <w:lang w:val="en-US" w:eastAsia="zh-CN"/>
        </w:rPr>
        <w:t>0.375</w:t>
      </w:r>
      <w:r>
        <w:rPr>
          <w:rFonts w:ascii="Times New Roman" w:hAnsi="Times New Roman" w:eastAsia="宋体" w:cs="Times New Roman"/>
          <w:color w:val="0000FF"/>
          <w:sz w:val="28"/>
          <w:szCs w:val="28"/>
          <w:highlight w:val="none"/>
        </w:rPr>
        <w:t>×10</w:t>
      </w:r>
      <w:r>
        <w:rPr>
          <w:rFonts w:ascii="Times New Roman" w:hAnsi="Times New Roman" w:eastAsia="宋体" w:cs="Times New Roman"/>
          <w:color w:val="0000FF"/>
          <w:sz w:val="28"/>
          <w:szCs w:val="28"/>
          <w:highlight w:val="none"/>
          <w:vertAlign w:val="superscript"/>
        </w:rPr>
        <w:t>4</w:t>
      </w:r>
      <w:r>
        <w:rPr>
          <w:rFonts w:hint="eastAsia" w:ascii="Times New Roman" w:hAnsi="Times New Roman" w:eastAsia="宋体" w:cs="Times New Roman"/>
          <w:color w:val="0000FF"/>
          <w:sz w:val="28"/>
          <w:szCs w:val="28"/>
          <w:highlight w:val="none"/>
        </w:rPr>
        <w:t>N</w:t>
      </w:r>
      <w:r>
        <w:rPr>
          <w:rFonts w:ascii="Times New Roman" w:hAnsi="Times New Roman" w:eastAsia="宋体" w:cs="Times New Roman"/>
          <w:color w:val="0000FF"/>
          <w:sz w:val="28"/>
          <w:szCs w:val="28"/>
          <w:highlight w:val="none"/>
        </w:rPr>
        <w:t>m</w:t>
      </w:r>
      <w:r>
        <w:rPr>
          <w:rFonts w:ascii="Times New Roman" w:hAnsi="Times New Roman" w:eastAsia="宋体" w:cs="Times New Roman"/>
          <w:color w:val="0000FF"/>
          <w:sz w:val="28"/>
          <w:szCs w:val="28"/>
          <w:highlight w:val="none"/>
          <w:vertAlign w:val="superscript"/>
        </w:rPr>
        <w:t>3</w:t>
      </w:r>
      <w:r>
        <w:rPr>
          <w:rFonts w:hint="eastAsia" w:ascii="Times New Roman" w:hAnsi="Times New Roman" w:eastAsia="宋体" w:cs="Times New Roman"/>
          <w:color w:val="0000FF"/>
          <w:sz w:val="28"/>
          <w:szCs w:val="28"/>
          <w:highlight w:val="none"/>
          <w:vertAlign w:val="baseline"/>
          <w:lang w:eastAsia="zh-CN"/>
        </w:rPr>
        <w:t>，</w:t>
      </w:r>
      <w:r>
        <w:rPr>
          <w:rFonts w:ascii="Times New Roman" w:hAnsi="Times New Roman" w:eastAsia="宋体" w:cs="Times New Roman"/>
          <w:color w:val="0000FF"/>
          <w:sz w:val="28"/>
          <w:szCs w:val="28"/>
          <w:highlight w:val="none"/>
        </w:rPr>
        <w:t>至</w:t>
      </w:r>
      <w:r>
        <w:rPr>
          <w:rFonts w:hint="eastAsia" w:ascii="Times New Roman" w:hAnsi="Times New Roman" w:eastAsia="宋体" w:cs="Times New Roman"/>
          <w:color w:val="0000FF"/>
          <w:sz w:val="28"/>
          <w:szCs w:val="28"/>
          <w:highlight w:val="none"/>
        </w:rPr>
        <w:t>2025</w:t>
      </w:r>
      <w:r>
        <w:rPr>
          <w:rFonts w:ascii="Times New Roman" w:hAnsi="Times New Roman" w:eastAsia="宋体" w:cs="Times New Roman"/>
          <w:color w:val="0000FF"/>
          <w:sz w:val="28"/>
          <w:szCs w:val="28"/>
          <w:highlight w:val="none"/>
        </w:rPr>
        <w:t>年总储气量</w:t>
      </w:r>
      <w:r>
        <w:rPr>
          <w:rFonts w:hint="eastAsia" w:ascii="Times New Roman" w:hAnsi="Times New Roman" w:eastAsia="宋体" w:cs="Times New Roman"/>
          <w:color w:val="0000FF"/>
          <w:sz w:val="28"/>
          <w:szCs w:val="28"/>
          <w:highlight w:val="none"/>
          <w:lang w:val="en-US" w:eastAsia="zh-CN"/>
        </w:rPr>
        <w:t>10.305</w:t>
      </w:r>
      <w:r>
        <w:rPr>
          <w:rFonts w:ascii="Times New Roman" w:hAnsi="Times New Roman" w:eastAsia="宋体" w:cs="Times New Roman"/>
          <w:color w:val="0000FF"/>
          <w:sz w:val="28"/>
          <w:szCs w:val="28"/>
          <w:highlight w:val="none"/>
        </w:rPr>
        <w:t>×10</w:t>
      </w:r>
      <w:r>
        <w:rPr>
          <w:rFonts w:ascii="Times New Roman" w:hAnsi="Times New Roman" w:eastAsia="宋体" w:cs="Times New Roman"/>
          <w:color w:val="0000FF"/>
          <w:sz w:val="28"/>
          <w:szCs w:val="28"/>
          <w:highlight w:val="none"/>
          <w:vertAlign w:val="superscript"/>
        </w:rPr>
        <w:t>4</w:t>
      </w:r>
      <w:r>
        <w:rPr>
          <w:rFonts w:hint="eastAsia" w:ascii="Times New Roman" w:hAnsi="Times New Roman" w:eastAsia="宋体" w:cs="Times New Roman"/>
          <w:color w:val="0000FF"/>
          <w:sz w:val="28"/>
          <w:szCs w:val="28"/>
          <w:highlight w:val="none"/>
        </w:rPr>
        <w:t>N</w:t>
      </w:r>
      <w:r>
        <w:rPr>
          <w:rFonts w:ascii="Times New Roman" w:hAnsi="Times New Roman" w:eastAsia="宋体" w:cs="Times New Roman"/>
          <w:color w:val="0000FF"/>
          <w:sz w:val="28"/>
          <w:szCs w:val="28"/>
          <w:highlight w:val="none"/>
        </w:rPr>
        <w:t>m</w:t>
      </w:r>
      <w:r>
        <w:rPr>
          <w:rFonts w:ascii="Times New Roman" w:hAnsi="Times New Roman" w:eastAsia="宋体" w:cs="Times New Roman"/>
          <w:color w:val="0000FF"/>
          <w:sz w:val="28"/>
          <w:szCs w:val="28"/>
          <w:highlight w:val="none"/>
          <w:vertAlign w:val="superscript"/>
        </w:rPr>
        <w:t>3</w:t>
      </w:r>
      <w:r>
        <w:rPr>
          <w:rFonts w:hint="eastAsia" w:ascii="Times New Roman" w:hAnsi="Times New Roman" w:eastAsia="宋体" w:cs="Times New Roman"/>
          <w:color w:val="0000FF"/>
          <w:sz w:val="28"/>
          <w:szCs w:val="28"/>
          <w:highlight w:val="none"/>
          <w:lang w:eastAsia="zh-CN"/>
        </w:rPr>
        <w:t>。</w:t>
      </w:r>
    </w:p>
    <w:p>
      <w:pPr>
        <w:spacing w:line="360" w:lineRule="auto"/>
        <w:ind w:firstLine="560" w:firstLineChars="200"/>
        <w:rPr>
          <w:rFonts w:hint="eastAsia" w:ascii="Times New Roman" w:hAnsi="Times New Roman" w:eastAsia="宋体" w:cs="Times New Roman"/>
          <w:color w:val="0000FF"/>
          <w:sz w:val="28"/>
          <w:szCs w:val="28"/>
          <w:highlight w:val="none"/>
          <w:lang w:eastAsia="zh-CN"/>
        </w:rPr>
      </w:pPr>
      <w:r>
        <w:rPr>
          <w:rFonts w:hint="eastAsia" w:ascii="Times New Roman" w:hAnsi="Times New Roman" w:eastAsia="宋体" w:cs="Times New Roman"/>
          <w:color w:val="0000FF"/>
          <w:sz w:val="28"/>
          <w:szCs w:val="28"/>
          <w:highlight w:val="none"/>
          <w:vertAlign w:val="baseline"/>
          <w:lang w:val="en-US" w:eastAsia="zh-CN"/>
        </w:rPr>
        <w:t>2030年</w:t>
      </w:r>
      <w:r>
        <w:rPr>
          <w:rFonts w:ascii="Times New Roman" w:hAnsi="Times New Roman" w:eastAsia="宋体" w:cs="Times New Roman"/>
          <w:color w:val="0000FF"/>
          <w:sz w:val="28"/>
          <w:szCs w:val="28"/>
          <w:highlight w:val="none"/>
        </w:rPr>
        <w:t>新建</w:t>
      </w:r>
      <w:r>
        <w:rPr>
          <w:rFonts w:hint="eastAsia" w:ascii="Times New Roman" w:hAnsi="Times New Roman" w:eastAsia="宋体" w:cs="Times New Roman"/>
          <w:color w:val="0000FF"/>
          <w:sz w:val="28"/>
          <w:szCs w:val="28"/>
          <w:highlight w:val="none"/>
          <w:lang w:val="en-US" w:eastAsia="zh-CN"/>
        </w:rPr>
        <w:t>次高压</w:t>
      </w:r>
      <w:r>
        <w:rPr>
          <w:rFonts w:ascii="Times New Roman" w:hAnsi="Times New Roman" w:eastAsia="宋体" w:cs="Times New Roman"/>
          <w:color w:val="0000FF"/>
          <w:sz w:val="28"/>
          <w:szCs w:val="28"/>
          <w:highlight w:val="none"/>
        </w:rPr>
        <w:t>管道储气量</w:t>
      </w:r>
      <w:r>
        <w:rPr>
          <w:rFonts w:hint="eastAsia" w:ascii="Times New Roman" w:hAnsi="Times New Roman" w:eastAsia="宋体" w:cs="Times New Roman"/>
          <w:color w:val="0000FF"/>
          <w:sz w:val="28"/>
          <w:szCs w:val="28"/>
          <w:highlight w:val="none"/>
        </w:rPr>
        <w:t>约</w:t>
      </w:r>
      <w:r>
        <w:rPr>
          <w:rFonts w:ascii="Times New Roman" w:hAnsi="Times New Roman" w:eastAsia="宋体" w:cs="Times New Roman"/>
          <w:color w:val="0000FF"/>
          <w:sz w:val="28"/>
          <w:szCs w:val="28"/>
          <w:highlight w:val="none"/>
        </w:rPr>
        <w:t>为</w:t>
      </w:r>
      <w:r>
        <w:rPr>
          <w:rFonts w:hint="eastAsia" w:ascii="Times New Roman" w:hAnsi="Times New Roman" w:eastAsia="宋体" w:cs="Times New Roman"/>
          <w:color w:val="0000FF"/>
          <w:sz w:val="28"/>
          <w:szCs w:val="28"/>
          <w:highlight w:val="none"/>
          <w:lang w:val="en-US" w:eastAsia="zh-CN"/>
        </w:rPr>
        <w:t>0.368</w:t>
      </w:r>
      <w:r>
        <w:rPr>
          <w:rFonts w:ascii="Times New Roman" w:hAnsi="Times New Roman" w:eastAsia="宋体" w:cs="Times New Roman"/>
          <w:color w:val="0000FF"/>
          <w:sz w:val="28"/>
          <w:szCs w:val="28"/>
          <w:highlight w:val="none"/>
        </w:rPr>
        <w:t>×10</w:t>
      </w:r>
      <w:r>
        <w:rPr>
          <w:rFonts w:ascii="Times New Roman" w:hAnsi="Times New Roman" w:eastAsia="宋体" w:cs="Times New Roman"/>
          <w:color w:val="0000FF"/>
          <w:sz w:val="28"/>
          <w:szCs w:val="28"/>
          <w:highlight w:val="none"/>
          <w:vertAlign w:val="superscript"/>
        </w:rPr>
        <w:t>4</w:t>
      </w:r>
      <w:r>
        <w:rPr>
          <w:rFonts w:hint="eastAsia" w:ascii="Times New Roman" w:hAnsi="Times New Roman" w:eastAsia="宋体" w:cs="Times New Roman"/>
          <w:color w:val="0000FF"/>
          <w:sz w:val="28"/>
          <w:szCs w:val="28"/>
          <w:highlight w:val="none"/>
        </w:rPr>
        <w:t>N</w:t>
      </w:r>
      <w:r>
        <w:rPr>
          <w:rFonts w:ascii="Times New Roman" w:hAnsi="Times New Roman" w:eastAsia="宋体" w:cs="Times New Roman"/>
          <w:color w:val="0000FF"/>
          <w:sz w:val="28"/>
          <w:szCs w:val="28"/>
          <w:highlight w:val="none"/>
        </w:rPr>
        <w:t>m</w:t>
      </w:r>
      <w:r>
        <w:rPr>
          <w:rFonts w:ascii="Times New Roman" w:hAnsi="Times New Roman" w:eastAsia="宋体" w:cs="Times New Roman"/>
          <w:color w:val="0000FF"/>
          <w:sz w:val="28"/>
          <w:szCs w:val="28"/>
          <w:highlight w:val="none"/>
          <w:vertAlign w:val="superscript"/>
        </w:rPr>
        <w:t>3</w:t>
      </w:r>
      <w:r>
        <w:rPr>
          <w:rFonts w:hint="eastAsia" w:ascii="Times New Roman" w:hAnsi="Times New Roman" w:eastAsia="宋体" w:cs="Times New Roman"/>
          <w:color w:val="0000FF"/>
          <w:sz w:val="28"/>
          <w:szCs w:val="28"/>
          <w:highlight w:val="none"/>
          <w:vertAlign w:val="baseline"/>
          <w:lang w:eastAsia="zh-CN"/>
        </w:rPr>
        <w:t>，</w:t>
      </w:r>
      <w:r>
        <w:rPr>
          <w:rFonts w:hint="eastAsia" w:ascii="Times New Roman" w:hAnsi="Times New Roman" w:eastAsia="宋体" w:cs="Times New Roman"/>
          <w:color w:val="0000FF"/>
          <w:sz w:val="28"/>
          <w:szCs w:val="28"/>
          <w:highlight w:val="none"/>
          <w:lang w:val="en-US" w:eastAsia="zh-CN"/>
        </w:rPr>
        <w:t>至2030年</w:t>
      </w:r>
      <w:r>
        <w:rPr>
          <w:rFonts w:ascii="Times New Roman" w:hAnsi="Times New Roman" w:eastAsia="宋体" w:cs="Times New Roman"/>
          <w:color w:val="0000FF"/>
          <w:sz w:val="28"/>
          <w:szCs w:val="28"/>
          <w:highlight w:val="none"/>
        </w:rPr>
        <w:t>总储气量</w:t>
      </w:r>
      <w:r>
        <w:rPr>
          <w:rFonts w:hint="eastAsia" w:ascii="Times New Roman" w:hAnsi="Times New Roman" w:eastAsia="宋体" w:cs="Times New Roman"/>
          <w:color w:val="0000FF"/>
          <w:sz w:val="28"/>
          <w:szCs w:val="28"/>
          <w:highlight w:val="none"/>
          <w:lang w:val="en-US" w:eastAsia="zh-CN"/>
        </w:rPr>
        <w:t>10.673</w:t>
      </w:r>
      <w:r>
        <w:rPr>
          <w:rFonts w:ascii="Times New Roman" w:hAnsi="Times New Roman" w:eastAsia="宋体" w:cs="Times New Roman"/>
          <w:color w:val="0000FF"/>
          <w:sz w:val="28"/>
          <w:szCs w:val="28"/>
          <w:highlight w:val="none"/>
        </w:rPr>
        <w:t>×10</w:t>
      </w:r>
      <w:r>
        <w:rPr>
          <w:rFonts w:ascii="Times New Roman" w:hAnsi="Times New Roman" w:eastAsia="宋体" w:cs="Times New Roman"/>
          <w:color w:val="0000FF"/>
          <w:sz w:val="28"/>
          <w:szCs w:val="28"/>
          <w:highlight w:val="none"/>
          <w:vertAlign w:val="superscript"/>
        </w:rPr>
        <w:t>4</w:t>
      </w:r>
      <w:r>
        <w:rPr>
          <w:rFonts w:hint="eastAsia" w:ascii="Times New Roman" w:hAnsi="Times New Roman" w:eastAsia="宋体" w:cs="Times New Roman"/>
          <w:color w:val="0000FF"/>
          <w:sz w:val="28"/>
          <w:szCs w:val="28"/>
          <w:highlight w:val="none"/>
        </w:rPr>
        <w:t>N</w:t>
      </w:r>
      <w:r>
        <w:rPr>
          <w:rFonts w:ascii="Times New Roman" w:hAnsi="Times New Roman" w:eastAsia="宋体" w:cs="Times New Roman"/>
          <w:color w:val="0000FF"/>
          <w:sz w:val="28"/>
          <w:szCs w:val="28"/>
          <w:highlight w:val="none"/>
        </w:rPr>
        <w:t>m</w:t>
      </w:r>
      <w:r>
        <w:rPr>
          <w:rFonts w:ascii="Times New Roman" w:hAnsi="Times New Roman" w:eastAsia="宋体" w:cs="Times New Roman"/>
          <w:color w:val="0000FF"/>
          <w:sz w:val="28"/>
          <w:szCs w:val="28"/>
          <w:highlight w:val="none"/>
          <w:vertAlign w:val="superscript"/>
        </w:rPr>
        <w:t>3</w:t>
      </w:r>
      <w:r>
        <w:rPr>
          <w:rFonts w:hint="eastAsia" w:ascii="Times New Roman" w:hAnsi="Times New Roman" w:eastAsia="宋体" w:cs="Times New Roman"/>
          <w:color w:val="0000FF"/>
          <w:sz w:val="28"/>
          <w:szCs w:val="28"/>
          <w:highlight w:val="none"/>
          <w:lang w:eastAsia="zh-CN"/>
        </w:rPr>
        <w:t>。</w:t>
      </w:r>
    </w:p>
    <w:p>
      <w:pPr>
        <w:spacing w:line="360" w:lineRule="auto"/>
        <w:ind w:firstLine="560" w:firstLineChars="200"/>
        <w:rPr>
          <w:rFonts w:hint="eastAsia" w:ascii="Times New Roman" w:hAnsi="Times New Roman" w:eastAsia="宋体" w:cs="Times New Roman"/>
          <w:color w:val="0000FF"/>
          <w:sz w:val="28"/>
          <w:szCs w:val="28"/>
          <w:highlight w:val="none"/>
          <w:vertAlign w:val="baseline"/>
          <w:lang w:val="en-US" w:eastAsia="zh-CN"/>
        </w:rPr>
      </w:pPr>
      <w:r>
        <w:rPr>
          <w:rFonts w:hint="eastAsia" w:ascii="Times New Roman" w:hAnsi="Times New Roman" w:eastAsia="宋体" w:cs="Times New Roman"/>
          <w:color w:val="0000FF"/>
          <w:sz w:val="28"/>
          <w:szCs w:val="28"/>
          <w:highlight w:val="none"/>
          <w:lang w:val="en-US" w:eastAsia="zh-CN"/>
        </w:rPr>
        <w:t>2035年新建次高压管道储气量约为0.029</w:t>
      </w:r>
      <w:r>
        <w:rPr>
          <w:rFonts w:ascii="Times New Roman" w:hAnsi="Times New Roman" w:eastAsia="宋体" w:cs="Times New Roman"/>
          <w:color w:val="0000FF"/>
          <w:sz w:val="28"/>
          <w:szCs w:val="28"/>
          <w:highlight w:val="none"/>
        </w:rPr>
        <w:t>×10</w:t>
      </w:r>
      <w:r>
        <w:rPr>
          <w:rFonts w:ascii="Times New Roman" w:hAnsi="Times New Roman" w:eastAsia="宋体" w:cs="Times New Roman"/>
          <w:color w:val="0000FF"/>
          <w:sz w:val="28"/>
          <w:szCs w:val="28"/>
          <w:highlight w:val="none"/>
          <w:vertAlign w:val="superscript"/>
        </w:rPr>
        <w:t>4</w:t>
      </w:r>
      <w:r>
        <w:rPr>
          <w:rFonts w:hint="eastAsia" w:ascii="Times New Roman" w:hAnsi="Times New Roman" w:eastAsia="宋体" w:cs="Times New Roman"/>
          <w:color w:val="0000FF"/>
          <w:sz w:val="28"/>
          <w:szCs w:val="28"/>
          <w:highlight w:val="none"/>
        </w:rPr>
        <w:t>N</w:t>
      </w:r>
      <w:r>
        <w:rPr>
          <w:rFonts w:ascii="Times New Roman" w:hAnsi="Times New Roman" w:eastAsia="宋体" w:cs="Times New Roman"/>
          <w:color w:val="0000FF"/>
          <w:sz w:val="28"/>
          <w:szCs w:val="28"/>
          <w:highlight w:val="none"/>
        </w:rPr>
        <w:t>m</w:t>
      </w:r>
      <w:r>
        <w:rPr>
          <w:rFonts w:ascii="Times New Roman" w:hAnsi="Times New Roman" w:eastAsia="宋体" w:cs="Times New Roman"/>
          <w:color w:val="0000FF"/>
          <w:sz w:val="28"/>
          <w:szCs w:val="28"/>
          <w:highlight w:val="none"/>
          <w:vertAlign w:val="superscript"/>
        </w:rPr>
        <w:t>3</w:t>
      </w:r>
      <w:r>
        <w:rPr>
          <w:rFonts w:hint="eastAsia" w:ascii="Times New Roman" w:hAnsi="Times New Roman" w:eastAsia="宋体" w:cs="Times New Roman"/>
          <w:color w:val="0000FF"/>
          <w:sz w:val="28"/>
          <w:szCs w:val="28"/>
          <w:highlight w:val="none"/>
          <w:vertAlign w:val="baseline"/>
          <w:lang w:eastAsia="zh-CN"/>
        </w:rPr>
        <w:t>，</w:t>
      </w:r>
      <w:r>
        <w:rPr>
          <w:rFonts w:hint="eastAsia" w:ascii="Times New Roman" w:hAnsi="Times New Roman" w:eastAsia="宋体" w:cs="Times New Roman"/>
          <w:color w:val="0000FF"/>
          <w:sz w:val="28"/>
          <w:szCs w:val="28"/>
          <w:highlight w:val="none"/>
          <w:lang w:val="en-US" w:eastAsia="zh-CN"/>
        </w:rPr>
        <w:t>至2035年</w:t>
      </w:r>
      <w:r>
        <w:rPr>
          <w:rFonts w:ascii="Times New Roman" w:hAnsi="Times New Roman" w:eastAsia="宋体" w:cs="Times New Roman"/>
          <w:color w:val="0000FF"/>
          <w:sz w:val="28"/>
          <w:szCs w:val="28"/>
          <w:highlight w:val="none"/>
        </w:rPr>
        <w:t>总储气量</w:t>
      </w:r>
      <w:r>
        <w:rPr>
          <w:rFonts w:hint="eastAsia" w:ascii="Times New Roman" w:hAnsi="Times New Roman" w:eastAsia="宋体" w:cs="Times New Roman"/>
          <w:color w:val="0000FF"/>
          <w:sz w:val="28"/>
          <w:szCs w:val="28"/>
          <w:highlight w:val="none"/>
          <w:lang w:val="en-US" w:eastAsia="zh-CN"/>
        </w:rPr>
        <w:t>10.702</w:t>
      </w:r>
      <w:r>
        <w:rPr>
          <w:rFonts w:ascii="Times New Roman" w:hAnsi="Times New Roman" w:eastAsia="宋体" w:cs="Times New Roman"/>
          <w:color w:val="0000FF"/>
          <w:sz w:val="28"/>
          <w:szCs w:val="28"/>
          <w:highlight w:val="none"/>
        </w:rPr>
        <w:t>×10</w:t>
      </w:r>
      <w:r>
        <w:rPr>
          <w:rFonts w:ascii="Times New Roman" w:hAnsi="Times New Roman" w:eastAsia="宋体" w:cs="Times New Roman"/>
          <w:color w:val="0000FF"/>
          <w:sz w:val="28"/>
          <w:szCs w:val="28"/>
          <w:highlight w:val="none"/>
          <w:vertAlign w:val="superscript"/>
        </w:rPr>
        <w:t>4</w:t>
      </w:r>
      <w:r>
        <w:rPr>
          <w:rFonts w:hint="eastAsia" w:ascii="Times New Roman" w:hAnsi="Times New Roman" w:eastAsia="宋体" w:cs="Times New Roman"/>
          <w:color w:val="0000FF"/>
          <w:sz w:val="28"/>
          <w:szCs w:val="28"/>
          <w:highlight w:val="none"/>
        </w:rPr>
        <w:t>N</w:t>
      </w:r>
      <w:r>
        <w:rPr>
          <w:rFonts w:ascii="Times New Roman" w:hAnsi="Times New Roman" w:eastAsia="宋体" w:cs="Times New Roman"/>
          <w:color w:val="0000FF"/>
          <w:sz w:val="28"/>
          <w:szCs w:val="28"/>
          <w:highlight w:val="none"/>
        </w:rPr>
        <w:t>m</w:t>
      </w:r>
      <w:r>
        <w:rPr>
          <w:rFonts w:ascii="Times New Roman" w:hAnsi="Times New Roman" w:eastAsia="宋体" w:cs="Times New Roman"/>
          <w:color w:val="0000FF"/>
          <w:sz w:val="28"/>
          <w:szCs w:val="28"/>
          <w:highlight w:val="none"/>
          <w:vertAlign w:val="superscript"/>
        </w:rPr>
        <w:t>3</w:t>
      </w:r>
      <w:r>
        <w:rPr>
          <w:rFonts w:hint="eastAsia" w:ascii="Times New Roman" w:hAnsi="Times New Roman" w:eastAsia="宋体" w:cs="Times New Roman"/>
          <w:color w:val="0000FF"/>
          <w:sz w:val="28"/>
          <w:szCs w:val="28"/>
          <w:highlight w:val="none"/>
          <w:lang w:eastAsia="zh-CN"/>
        </w:rPr>
        <w:t>。</w:t>
      </w:r>
    </w:p>
    <w:bookmarkEnd w:id="51"/>
    <w:p>
      <w:pPr>
        <w:spacing w:line="360" w:lineRule="auto"/>
        <w:jc w:val="center"/>
        <w:rPr>
          <w:rFonts w:ascii="Times New Roman" w:hAnsi="Times New Roman" w:eastAsia="宋体" w:cs="Times New Roman"/>
          <w:b/>
          <w:bCs/>
          <w:color w:val="auto"/>
          <w:sz w:val="24"/>
          <w:highlight w:val="none"/>
        </w:rPr>
      </w:pPr>
      <w:r>
        <w:rPr>
          <w:rFonts w:ascii="Times New Roman" w:hAnsi="Times New Roman" w:eastAsia="宋体" w:cs="Times New Roman"/>
          <w:b/>
          <w:bCs/>
          <w:color w:val="auto"/>
          <w:sz w:val="24"/>
          <w:highlight w:val="none"/>
        </w:rPr>
        <w:t>表</w:t>
      </w:r>
      <w:r>
        <w:rPr>
          <w:rFonts w:hint="eastAsia" w:ascii="Times New Roman" w:hAnsi="Times New Roman" w:eastAsia="宋体" w:cs="Times New Roman"/>
          <w:b/>
          <w:bCs/>
          <w:color w:val="auto"/>
          <w:sz w:val="24"/>
          <w:highlight w:val="none"/>
          <w:lang w:val="en-US" w:eastAsia="zh-CN"/>
        </w:rPr>
        <w:t>4-10</w:t>
      </w:r>
      <w:r>
        <w:rPr>
          <w:rFonts w:ascii="Times New Roman" w:hAnsi="Times New Roman" w:eastAsia="宋体" w:cs="Times New Roman"/>
          <w:b/>
          <w:bCs/>
          <w:color w:val="auto"/>
          <w:sz w:val="24"/>
          <w:highlight w:val="none"/>
        </w:rPr>
        <w:t xml:space="preserve">  调峰设施储气量统计表</w:t>
      </w:r>
    </w:p>
    <w:bookmarkEnd w:id="50"/>
    <w:tbl>
      <w:tblPr>
        <w:tblStyle w:val="28"/>
        <w:tblW w:w="4999" w:type="pct"/>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000000" w:sz="4" w:space="0"/>
        </w:tblBorders>
        <w:tblLayout w:type="autofit"/>
        <w:tblCellMar>
          <w:top w:w="0" w:type="dxa"/>
          <w:left w:w="108" w:type="dxa"/>
          <w:bottom w:w="0" w:type="dxa"/>
          <w:right w:w="108" w:type="dxa"/>
        </w:tblCellMar>
      </w:tblPr>
      <w:tblGrid>
        <w:gridCol w:w="1275"/>
        <w:gridCol w:w="5714"/>
        <w:gridCol w:w="3478"/>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454" w:hRule="atLeast"/>
          <w:jc w:val="center"/>
        </w:trPr>
        <w:tc>
          <w:tcPr>
            <w:tcW w:w="60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0000FF"/>
                <w:sz w:val="24"/>
                <w:highlight w:val="none"/>
              </w:rPr>
            </w:pPr>
            <w:r>
              <w:rPr>
                <w:rFonts w:hint="default" w:ascii="Times New Roman" w:hAnsi="Times New Roman" w:cs="Times New Roman"/>
                <w:bCs/>
                <w:color w:val="0000FF"/>
                <w:sz w:val="24"/>
                <w:highlight w:val="none"/>
              </w:rPr>
              <w:t>序号</w:t>
            </w:r>
          </w:p>
        </w:tc>
        <w:tc>
          <w:tcPr>
            <w:tcW w:w="272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0000FF"/>
                <w:sz w:val="24"/>
                <w:highlight w:val="none"/>
              </w:rPr>
            </w:pPr>
            <w:r>
              <w:rPr>
                <w:rFonts w:hint="default" w:ascii="Times New Roman" w:hAnsi="Times New Roman" w:cs="Times New Roman"/>
                <w:bCs/>
                <w:color w:val="0000FF"/>
                <w:sz w:val="24"/>
                <w:highlight w:val="none"/>
              </w:rPr>
              <w:t>项 目</w:t>
            </w:r>
          </w:p>
        </w:tc>
        <w:tc>
          <w:tcPr>
            <w:tcW w:w="1661"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0000FF"/>
                <w:sz w:val="24"/>
                <w:highlight w:val="none"/>
              </w:rPr>
            </w:pPr>
            <w:r>
              <w:rPr>
                <w:rFonts w:hint="default" w:ascii="Times New Roman" w:hAnsi="Times New Roman" w:cs="Times New Roman"/>
                <w:bCs/>
                <w:color w:val="0000FF"/>
                <w:sz w:val="24"/>
                <w:highlight w:val="none"/>
              </w:rPr>
              <w:t>储气量（</w:t>
            </w:r>
            <w:bookmarkStart w:id="52" w:name="_Hlk98749725"/>
            <w:r>
              <w:rPr>
                <w:rFonts w:hint="default" w:ascii="Times New Roman" w:hAnsi="Times New Roman" w:cs="Times New Roman"/>
                <w:bCs/>
                <w:color w:val="0000FF"/>
                <w:sz w:val="24"/>
                <w:highlight w:val="none"/>
              </w:rPr>
              <w:t>×10</w:t>
            </w:r>
            <w:r>
              <w:rPr>
                <w:rFonts w:hint="default" w:ascii="Times New Roman" w:hAnsi="Times New Roman" w:cs="Times New Roman"/>
                <w:bCs/>
                <w:color w:val="0000FF"/>
                <w:sz w:val="24"/>
                <w:highlight w:val="none"/>
                <w:vertAlign w:val="superscript"/>
              </w:rPr>
              <w:t>4</w:t>
            </w:r>
            <w:r>
              <w:rPr>
                <w:rFonts w:hint="default" w:ascii="Times New Roman" w:hAnsi="Times New Roman" w:cs="Times New Roman"/>
                <w:bCs/>
                <w:color w:val="0000FF"/>
                <w:sz w:val="24"/>
                <w:highlight w:val="none"/>
              </w:rPr>
              <w:t>Nm</w:t>
            </w:r>
            <w:r>
              <w:rPr>
                <w:rFonts w:hint="default" w:ascii="Times New Roman" w:hAnsi="Times New Roman" w:cs="Times New Roman"/>
                <w:bCs/>
                <w:color w:val="0000FF"/>
                <w:sz w:val="24"/>
                <w:highlight w:val="none"/>
                <w:vertAlign w:val="superscript"/>
              </w:rPr>
              <w:t>3</w:t>
            </w:r>
            <w:bookmarkEnd w:id="52"/>
            <w:r>
              <w:rPr>
                <w:rFonts w:hint="default" w:ascii="Times New Roman" w:hAnsi="Times New Roman" w:cs="Times New Roman"/>
                <w:bCs/>
                <w:color w:val="0000FF"/>
                <w:sz w:val="24"/>
                <w:highlight w:val="none"/>
              </w:rPr>
              <w:t>）</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454" w:hRule="atLeast"/>
          <w:jc w:val="center"/>
        </w:trPr>
        <w:tc>
          <w:tcPr>
            <w:tcW w:w="60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FF"/>
                <w:sz w:val="24"/>
                <w:highlight w:val="none"/>
              </w:rPr>
            </w:pPr>
            <w:r>
              <w:rPr>
                <w:rFonts w:hint="default" w:ascii="Times New Roman" w:hAnsi="Times New Roman" w:cs="Times New Roman"/>
                <w:color w:val="0000FF"/>
                <w:sz w:val="24"/>
                <w:highlight w:val="none"/>
              </w:rPr>
              <w:t>1</w:t>
            </w:r>
          </w:p>
        </w:tc>
        <w:tc>
          <w:tcPr>
            <w:tcW w:w="272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FF"/>
                <w:sz w:val="24"/>
                <w:highlight w:val="none"/>
              </w:rPr>
            </w:pPr>
            <w:r>
              <w:rPr>
                <w:rFonts w:hint="eastAsia" w:ascii="Times New Roman" w:hAnsi="Times New Roman" w:cs="Times New Roman"/>
                <w:color w:val="0000FF"/>
                <w:sz w:val="24"/>
                <w:highlight w:val="none"/>
              </w:rPr>
              <w:t>现状</w:t>
            </w:r>
            <w:r>
              <w:rPr>
                <w:rFonts w:hint="eastAsia" w:ascii="Times New Roman" w:hAnsi="Times New Roman" w:cs="Times New Roman"/>
                <w:color w:val="0000FF"/>
                <w:sz w:val="24"/>
                <w:highlight w:val="none"/>
                <w:lang w:val="en-US" w:eastAsia="zh-CN"/>
              </w:rPr>
              <w:t>次高压</w:t>
            </w:r>
            <w:r>
              <w:rPr>
                <w:rFonts w:hint="default" w:ascii="Times New Roman" w:hAnsi="Times New Roman" w:cs="Times New Roman"/>
                <w:color w:val="0000FF"/>
                <w:sz w:val="24"/>
                <w:highlight w:val="none"/>
              </w:rPr>
              <w:t>管道</w:t>
            </w:r>
          </w:p>
        </w:tc>
        <w:tc>
          <w:tcPr>
            <w:tcW w:w="1661"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4"/>
                <w:highlight w:val="none"/>
                <w:lang w:val="en-US" w:eastAsia="zh-CN"/>
              </w:rPr>
            </w:pPr>
            <w:r>
              <w:rPr>
                <w:rFonts w:hint="eastAsia" w:ascii="Times New Roman" w:hAnsi="Times New Roman" w:cs="Times New Roman"/>
                <w:color w:val="0000FF"/>
                <w:sz w:val="24"/>
                <w:highlight w:val="none"/>
                <w:lang w:val="en-US" w:eastAsia="zh-CN"/>
              </w:rPr>
              <w:t>0.21</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454" w:hRule="atLeast"/>
          <w:jc w:val="center"/>
        </w:trPr>
        <w:tc>
          <w:tcPr>
            <w:tcW w:w="60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FF"/>
                <w:sz w:val="24"/>
                <w:highlight w:val="none"/>
              </w:rPr>
            </w:pPr>
            <w:r>
              <w:rPr>
                <w:rFonts w:hint="default" w:ascii="Times New Roman" w:hAnsi="Times New Roman" w:cs="Times New Roman"/>
                <w:color w:val="0000FF"/>
                <w:sz w:val="24"/>
                <w:highlight w:val="none"/>
              </w:rPr>
              <w:t>2</w:t>
            </w:r>
          </w:p>
        </w:tc>
        <w:tc>
          <w:tcPr>
            <w:tcW w:w="272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FF"/>
                <w:sz w:val="24"/>
                <w:highlight w:val="none"/>
              </w:rPr>
            </w:pPr>
            <w:r>
              <w:rPr>
                <w:rFonts w:hint="eastAsia" w:ascii="Times New Roman" w:hAnsi="Times New Roman" w:cs="Times New Roman"/>
                <w:color w:val="0000FF"/>
                <w:sz w:val="24"/>
                <w:highlight w:val="none"/>
              </w:rPr>
              <w:t>现状</w:t>
            </w:r>
            <w:r>
              <w:rPr>
                <w:rFonts w:hint="eastAsia" w:ascii="Times New Roman" w:hAnsi="Times New Roman" w:cs="Times New Roman"/>
                <w:color w:val="0000FF"/>
                <w:sz w:val="24"/>
                <w:highlight w:val="none"/>
                <w:lang w:val="en-US" w:eastAsia="zh-CN"/>
              </w:rPr>
              <w:t>青台子</w:t>
            </w:r>
            <w:r>
              <w:rPr>
                <w:rFonts w:hint="default" w:ascii="Times New Roman" w:hAnsi="Times New Roman" w:cs="Times New Roman"/>
                <w:color w:val="0000FF"/>
                <w:sz w:val="24"/>
                <w:highlight w:val="none"/>
              </w:rPr>
              <w:t>储配站</w:t>
            </w:r>
          </w:p>
        </w:tc>
        <w:tc>
          <w:tcPr>
            <w:tcW w:w="1661"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4"/>
                <w:highlight w:val="none"/>
                <w:lang w:val="en-US" w:eastAsia="zh-CN"/>
              </w:rPr>
            </w:pPr>
            <w:r>
              <w:rPr>
                <w:rFonts w:hint="eastAsia" w:ascii="Times New Roman" w:hAnsi="Times New Roman" w:cs="Times New Roman"/>
                <w:color w:val="0000FF"/>
                <w:sz w:val="24"/>
                <w:highlight w:val="none"/>
                <w:lang w:val="en-US" w:eastAsia="zh-CN"/>
              </w:rPr>
              <w:t>9.72</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454" w:hRule="atLeast"/>
          <w:jc w:val="center"/>
        </w:trPr>
        <w:tc>
          <w:tcPr>
            <w:tcW w:w="60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0000FF"/>
                <w:sz w:val="24"/>
                <w:highlight w:val="none"/>
                <w:lang w:val="en-US" w:eastAsia="zh-CN"/>
              </w:rPr>
            </w:pPr>
            <w:r>
              <w:rPr>
                <w:rFonts w:hint="eastAsia" w:ascii="Times New Roman" w:hAnsi="Times New Roman" w:cs="Times New Roman"/>
                <w:color w:val="0000FF"/>
                <w:sz w:val="24"/>
                <w:highlight w:val="none"/>
                <w:lang w:val="en-US" w:eastAsia="zh-CN"/>
              </w:rPr>
              <w:t>3</w:t>
            </w:r>
          </w:p>
        </w:tc>
        <w:tc>
          <w:tcPr>
            <w:tcW w:w="272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4"/>
                <w:highlight w:val="none"/>
                <w:lang w:val="en-US" w:eastAsia="zh-CN"/>
              </w:rPr>
            </w:pPr>
            <w:r>
              <w:rPr>
                <w:rFonts w:hint="eastAsia" w:ascii="Times New Roman" w:hAnsi="Times New Roman" w:cs="Times New Roman"/>
                <w:color w:val="0000FF"/>
                <w:sz w:val="24"/>
                <w:highlight w:val="none"/>
                <w:lang w:val="en-US" w:eastAsia="zh-CN"/>
              </w:rPr>
              <w:t>现状储气量合计</w:t>
            </w:r>
          </w:p>
        </w:tc>
        <w:tc>
          <w:tcPr>
            <w:tcW w:w="1661"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FF"/>
                <w:sz w:val="24"/>
                <w:highlight w:val="none"/>
                <w:lang w:val="en-US" w:eastAsia="zh-CN"/>
              </w:rPr>
            </w:pPr>
            <w:r>
              <w:rPr>
                <w:rFonts w:hint="eastAsia" w:ascii="Times New Roman" w:hAnsi="Times New Roman" w:cs="Times New Roman"/>
                <w:color w:val="0000FF"/>
                <w:sz w:val="24"/>
                <w:highlight w:val="none"/>
                <w:lang w:val="en-US" w:eastAsia="zh-CN"/>
              </w:rPr>
              <w:t>9.93</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461" w:hRule="atLeast"/>
          <w:jc w:val="center"/>
        </w:trPr>
        <w:tc>
          <w:tcPr>
            <w:tcW w:w="60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0000FF"/>
                <w:sz w:val="24"/>
                <w:highlight w:val="none"/>
                <w:lang w:val="en-US" w:eastAsia="zh-CN"/>
              </w:rPr>
            </w:pPr>
            <w:r>
              <w:rPr>
                <w:rFonts w:hint="eastAsia" w:ascii="Times New Roman" w:hAnsi="Times New Roman" w:cs="Times New Roman"/>
                <w:color w:val="0000FF"/>
                <w:sz w:val="24"/>
                <w:highlight w:val="none"/>
                <w:lang w:val="en-US" w:eastAsia="zh-CN"/>
              </w:rPr>
              <w:t>4</w:t>
            </w:r>
          </w:p>
        </w:tc>
        <w:tc>
          <w:tcPr>
            <w:tcW w:w="27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0000FF"/>
                <w:sz w:val="24"/>
                <w:highlight w:val="none"/>
                <w:lang w:val="en-US" w:eastAsia="zh-CN"/>
              </w:rPr>
            </w:pPr>
            <w:r>
              <w:rPr>
                <w:rFonts w:hint="eastAsia" w:ascii="Times New Roman" w:hAnsi="Times New Roman" w:cs="Times New Roman"/>
                <w:color w:val="0000FF"/>
                <w:sz w:val="24"/>
                <w:highlight w:val="none"/>
                <w:lang w:val="en-US" w:eastAsia="zh-CN"/>
              </w:rPr>
              <w:t>至2025年规划次高压</w:t>
            </w:r>
            <w:r>
              <w:rPr>
                <w:rFonts w:hint="default" w:ascii="Times New Roman" w:hAnsi="Times New Roman" w:cs="Times New Roman"/>
                <w:color w:val="0000FF"/>
                <w:sz w:val="24"/>
                <w:highlight w:val="none"/>
              </w:rPr>
              <w:t>管道</w:t>
            </w:r>
            <w:r>
              <w:rPr>
                <w:rFonts w:hint="eastAsia" w:ascii="Times New Roman" w:hAnsi="Times New Roman" w:cs="Times New Roman"/>
                <w:color w:val="0000FF"/>
                <w:sz w:val="24"/>
                <w:highlight w:val="none"/>
                <w:lang w:val="en-US" w:eastAsia="zh-CN"/>
              </w:rPr>
              <w:t>储气量</w:t>
            </w:r>
          </w:p>
        </w:tc>
        <w:tc>
          <w:tcPr>
            <w:tcW w:w="1661"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4"/>
                <w:highlight w:val="none"/>
                <w:lang w:val="en-US" w:eastAsia="zh-CN"/>
              </w:rPr>
            </w:pPr>
            <w:r>
              <w:rPr>
                <w:rFonts w:hint="eastAsia" w:ascii="Times New Roman" w:hAnsi="Times New Roman" w:cs="Times New Roman"/>
                <w:color w:val="0000FF"/>
                <w:sz w:val="24"/>
                <w:highlight w:val="none"/>
                <w:lang w:val="en-US" w:eastAsia="zh-CN"/>
              </w:rPr>
              <w:t>0.375</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461" w:hRule="atLeast"/>
          <w:jc w:val="center"/>
        </w:trPr>
        <w:tc>
          <w:tcPr>
            <w:tcW w:w="60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0000FF"/>
                <w:sz w:val="24"/>
                <w:highlight w:val="none"/>
                <w:lang w:val="en-US" w:eastAsia="zh-CN"/>
              </w:rPr>
            </w:pPr>
            <w:r>
              <w:rPr>
                <w:rFonts w:hint="eastAsia" w:ascii="Times New Roman" w:hAnsi="Times New Roman" w:cs="Times New Roman"/>
                <w:color w:val="0000FF"/>
                <w:sz w:val="24"/>
                <w:highlight w:val="none"/>
                <w:lang w:val="en-US" w:eastAsia="zh-CN"/>
              </w:rPr>
              <w:t>5</w:t>
            </w:r>
          </w:p>
        </w:tc>
        <w:tc>
          <w:tcPr>
            <w:tcW w:w="272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FF"/>
                <w:sz w:val="24"/>
                <w:highlight w:val="none"/>
                <w:lang w:val="en-US" w:eastAsia="zh-CN"/>
              </w:rPr>
            </w:pPr>
            <w:r>
              <w:rPr>
                <w:rFonts w:hint="eastAsia" w:ascii="Times New Roman" w:hAnsi="Times New Roman" w:cs="Times New Roman"/>
                <w:color w:val="0000FF"/>
                <w:sz w:val="24"/>
                <w:highlight w:val="none"/>
                <w:lang w:val="en-US" w:eastAsia="zh-CN"/>
              </w:rPr>
              <w:t>至2025年总储气量</w:t>
            </w:r>
          </w:p>
        </w:tc>
        <w:tc>
          <w:tcPr>
            <w:tcW w:w="1661"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FF"/>
                <w:sz w:val="24"/>
                <w:highlight w:val="none"/>
                <w:lang w:val="en-US" w:eastAsia="zh-CN"/>
              </w:rPr>
            </w:pPr>
            <w:r>
              <w:rPr>
                <w:rFonts w:hint="eastAsia" w:ascii="Times New Roman" w:hAnsi="Times New Roman" w:cs="Times New Roman"/>
                <w:color w:val="0000FF"/>
                <w:sz w:val="24"/>
                <w:highlight w:val="none"/>
                <w:lang w:val="en-US" w:eastAsia="zh-CN"/>
              </w:rPr>
              <w:t>10.305</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461" w:hRule="atLeast"/>
          <w:jc w:val="center"/>
        </w:trPr>
        <w:tc>
          <w:tcPr>
            <w:tcW w:w="60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0000FF"/>
                <w:sz w:val="24"/>
                <w:highlight w:val="none"/>
                <w:lang w:val="en-US" w:eastAsia="zh-CN"/>
              </w:rPr>
            </w:pPr>
            <w:r>
              <w:rPr>
                <w:rFonts w:hint="eastAsia" w:ascii="Times New Roman" w:hAnsi="Times New Roman" w:cs="Times New Roman"/>
                <w:color w:val="0000FF"/>
                <w:sz w:val="24"/>
                <w:highlight w:val="none"/>
                <w:lang w:val="en-US" w:eastAsia="zh-CN"/>
              </w:rPr>
              <w:t>6</w:t>
            </w:r>
          </w:p>
        </w:tc>
        <w:tc>
          <w:tcPr>
            <w:tcW w:w="272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FF"/>
                <w:sz w:val="24"/>
                <w:highlight w:val="none"/>
                <w:lang w:val="en-US" w:eastAsia="zh-CN"/>
              </w:rPr>
            </w:pPr>
            <w:r>
              <w:rPr>
                <w:rFonts w:hint="eastAsia" w:ascii="Times New Roman" w:hAnsi="Times New Roman" w:cs="Times New Roman"/>
                <w:color w:val="0000FF"/>
                <w:sz w:val="24"/>
                <w:highlight w:val="none"/>
                <w:lang w:val="en-US" w:eastAsia="zh-CN"/>
              </w:rPr>
              <w:t>至2030年规划次高压</w:t>
            </w:r>
            <w:r>
              <w:rPr>
                <w:rFonts w:hint="default" w:ascii="Times New Roman" w:hAnsi="Times New Roman" w:cs="Times New Roman"/>
                <w:color w:val="0000FF"/>
                <w:sz w:val="24"/>
                <w:highlight w:val="none"/>
              </w:rPr>
              <w:t>管道</w:t>
            </w:r>
            <w:r>
              <w:rPr>
                <w:rFonts w:hint="eastAsia" w:ascii="Times New Roman" w:hAnsi="Times New Roman" w:cs="Times New Roman"/>
                <w:color w:val="0000FF"/>
                <w:sz w:val="24"/>
                <w:highlight w:val="none"/>
                <w:lang w:val="en-US" w:eastAsia="zh-CN"/>
              </w:rPr>
              <w:t>储气量</w:t>
            </w:r>
          </w:p>
        </w:tc>
        <w:tc>
          <w:tcPr>
            <w:tcW w:w="1661"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FF"/>
                <w:sz w:val="24"/>
                <w:highlight w:val="none"/>
                <w:lang w:val="en-US" w:eastAsia="zh-CN"/>
              </w:rPr>
            </w:pPr>
            <w:r>
              <w:rPr>
                <w:rFonts w:hint="eastAsia" w:ascii="Times New Roman" w:hAnsi="Times New Roman" w:cs="Times New Roman"/>
                <w:color w:val="0000FF"/>
                <w:sz w:val="24"/>
                <w:highlight w:val="none"/>
                <w:lang w:val="en-US" w:eastAsia="zh-CN"/>
              </w:rPr>
              <w:t>0.368</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461" w:hRule="atLeast"/>
          <w:jc w:val="center"/>
        </w:trPr>
        <w:tc>
          <w:tcPr>
            <w:tcW w:w="60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0000FF"/>
                <w:sz w:val="24"/>
                <w:highlight w:val="none"/>
                <w:lang w:val="en-US" w:eastAsia="zh-CN"/>
              </w:rPr>
            </w:pPr>
            <w:r>
              <w:rPr>
                <w:rFonts w:hint="eastAsia" w:ascii="Times New Roman" w:hAnsi="Times New Roman" w:cs="Times New Roman"/>
                <w:color w:val="0000FF"/>
                <w:sz w:val="24"/>
                <w:highlight w:val="none"/>
                <w:lang w:val="en-US" w:eastAsia="zh-CN"/>
              </w:rPr>
              <w:t>7</w:t>
            </w:r>
          </w:p>
        </w:tc>
        <w:tc>
          <w:tcPr>
            <w:tcW w:w="27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FF"/>
                <w:sz w:val="24"/>
                <w:highlight w:val="none"/>
                <w:lang w:val="en-US" w:eastAsia="zh-CN"/>
              </w:rPr>
            </w:pPr>
            <w:r>
              <w:rPr>
                <w:rFonts w:hint="eastAsia" w:ascii="Times New Roman" w:hAnsi="Times New Roman" w:cs="Times New Roman"/>
                <w:color w:val="0000FF"/>
                <w:sz w:val="24"/>
                <w:highlight w:val="none"/>
                <w:lang w:val="en-US" w:eastAsia="zh-CN"/>
              </w:rPr>
              <w:t>至2030年总储气量</w:t>
            </w:r>
          </w:p>
        </w:tc>
        <w:tc>
          <w:tcPr>
            <w:tcW w:w="1661"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FF"/>
                <w:sz w:val="24"/>
                <w:highlight w:val="none"/>
                <w:lang w:val="en-US" w:eastAsia="zh-CN"/>
              </w:rPr>
            </w:pPr>
            <w:r>
              <w:rPr>
                <w:rFonts w:hint="eastAsia" w:ascii="Times New Roman" w:hAnsi="Times New Roman" w:cs="Times New Roman"/>
                <w:color w:val="0000FF"/>
                <w:sz w:val="24"/>
                <w:highlight w:val="none"/>
                <w:lang w:val="en-US" w:eastAsia="zh-CN"/>
              </w:rPr>
              <w:t>10.673</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461" w:hRule="atLeast"/>
          <w:jc w:val="center"/>
        </w:trPr>
        <w:tc>
          <w:tcPr>
            <w:tcW w:w="60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0000FF"/>
                <w:sz w:val="24"/>
                <w:highlight w:val="none"/>
                <w:lang w:val="en-US" w:eastAsia="zh-CN"/>
              </w:rPr>
            </w:pPr>
            <w:r>
              <w:rPr>
                <w:rFonts w:hint="eastAsia" w:ascii="Times New Roman" w:hAnsi="Times New Roman" w:cs="Times New Roman"/>
                <w:color w:val="0000FF"/>
                <w:sz w:val="24"/>
                <w:highlight w:val="none"/>
                <w:lang w:val="en-US" w:eastAsia="zh-CN"/>
              </w:rPr>
              <w:t>8</w:t>
            </w:r>
          </w:p>
        </w:tc>
        <w:tc>
          <w:tcPr>
            <w:tcW w:w="27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FF"/>
                <w:sz w:val="24"/>
                <w:highlight w:val="none"/>
                <w:lang w:val="en-US" w:eastAsia="zh-CN"/>
              </w:rPr>
            </w:pPr>
            <w:r>
              <w:rPr>
                <w:rFonts w:hint="eastAsia" w:ascii="Times New Roman" w:hAnsi="Times New Roman" w:cs="Times New Roman"/>
                <w:color w:val="0000FF"/>
                <w:sz w:val="24"/>
                <w:highlight w:val="none"/>
                <w:lang w:val="en-US" w:eastAsia="zh-CN"/>
              </w:rPr>
              <w:t>至2035年规划次高压</w:t>
            </w:r>
            <w:r>
              <w:rPr>
                <w:rFonts w:hint="default" w:ascii="Times New Roman" w:hAnsi="Times New Roman" w:cs="Times New Roman"/>
                <w:color w:val="0000FF"/>
                <w:sz w:val="24"/>
                <w:highlight w:val="none"/>
              </w:rPr>
              <w:t>管道</w:t>
            </w:r>
            <w:r>
              <w:rPr>
                <w:rFonts w:hint="eastAsia" w:ascii="Times New Roman" w:hAnsi="Times New Roman" w:cs="Times New Roman"/>
                <w:color w:val="0000FF"/>
                <w:sz w:val="24"/>
                <w:highlight w:val="none"/>
                <w:lang w:val="en-US" w:eastAsia="zh-CN"/>
              </w:rPr>
              <w:t>储气量</w:t>
            </w:r>
          </w:p>
        </w:tc>
        <w:tc>
          <w:tcPr>
            <w:tcW w:w="1661"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FF"/>
                <w:sz w:val="24"/>
                <w:highlight w:val="none"/>
                <w:lang w:val="en-US" w:eastAsia="zh-CN"/>
              </w:rPr>
            </w:pPr>
            <w:r>
              <w:rPr>
                <w:rFonts w:hint="eastAsia" w:ascii="Times New Roman" w:hAnsi="Times New Roman" w:cs="Times New Roman"/>
                <w:color w:val="0000FF"/>
                <w:sz w:val="24"/>
                <w:highlight w:val="none"/>
                <w:lang w:val="en-US" w:eastAsia="zh-CN"/>
              </w:rPr>
              <w:t>0.029</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461" w:hRule="atLeast"/>
          <w:jc w:val="center"/>
        </w:trPr>
        <w:tc>
          <w:tcPr>
            <w:tcW w:w="60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FF"/>
                <w:sz w:val="24"/>
                <w:highlight w:val="none"/>
                <w:lang w:val="en-US" w:eastAsia="zh-CN"/>
              </w:rPr>
            </w:pPr>
            <w:r>
              <w:rPr>
                <w:rFonts w:hint="eastAsia" w:ascii="Times New Roman" w:hAnsi="Times New Roman" w:cs="Times New Roman"/>
                <w:color w:val="0000FF"/>
                <w:sz w:val="24"/>
                <w:highlight w:val="none"/>
                <w:lang w:val="en-US" w:eastAsia="zh-CN"/>
              </w:rPr>
              <w:t>9</w:t>
            </w:r>
          </w:p>
        </w:tc>
        <w:tc>
          <w:tcPr>
            <w:tcW w:w="272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FF"/>
                <w:sz w:val="24"/>
                <w:highlight w:val="none"/>
                <w:lang w:val="en-US" w:eastAsia="zh-CN"/>
              </w:rPr>
            </w:pPr>
            <w:r>
              <w:rPr>
                <w:rFonts w:hint="eastAsia" w:ascii="Times New Roman" w:hAnsi="Times New Roman" w:cs="Times New Roman"/>
                <w:color w:val="0000FF"/>
                <w:sz w:val="24"/>
                <w:highlight w:val="none"/>
                <w:lang w:val="en-US" w:eastAsia="zh-CN"/>
              </w:rPr>
              <w:t>2035年规划LNG储配站1座</w:t>
            </w:r>
          </w:p>
        </w:tc>
        <w:tc>
          <w:tcPr>
            <w:tcW w:w="1661"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FF"/>
                <w:sz w:val="24"/>
                <w:highlight w:val="none"/>
                <w:lang w:val="en-US" w:eastAsia="zh-CN"/>
              </w:rPr>
            </w:pPr>
            <w:r>
              <w:rPr>
                <w:rFonts w:hint="eastAsia" w:ascii="Times New Roman" w:hAnsi="Times New Roman" w:cs="Times New Roman"/>
                <w:color w:val="0000FF"/>
                <w:sz w:val="24"/>
                <w:highlight w:val="none"/>
                <w:lang w:val="en-US" w:eastAsia="zh-CN"/>
              </w:rPr>
              <w:t>50.00</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461" w:hRule="atLeast"/>
          <w:jc w:val="center"/>
        </w:trPr>
        <w:tc>
          <w:tcPr>
            <w:tcW w:w="60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4"/>
                <w:highlight w:val="none"/>
                <w:lang w:val="en-US" w:eastAsia="zh-CN"/>
              </w:rPr>
            </w:pPr>
            <w:r>
              <w:rPr>
                <w:rFonts w:hint="eastAsia" w:ascii="Times New Roman" w:hAnsi="Times New Roman" w:cs="Times New Roman"/>
                <w:color w:val="0000FF"/>
                <w:sz w:val="24"/>
                <w:highlight w:val="none"/>
                <w:lang w:val="en-US" w:eastAsia="zh-CN"/>
              </w:rPr>
              <w:t>10</w:t>
            </w:r>
          </w:p>
        </w:tc>
        <w:tc>
          <w:tcPr>
            <w:tcW w:w="27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FF"/>
                <w:sz w:val="24"/>
                <w:highlight w:val="none"/>
                <w:lang w:val="en-US" w:eastAsia="zh-CN"/>
              </w:rPr>
            </w:pPr>
            <w:r>
              <w:rPr>
                <w:rFonts w:hint="eastAsia" w:ascii="Times New Roman" w:hAnsi="Times New Roman" w:cs="Times New Roman"/>
                <w:color w:val="0000FF"/>
                <w:sz w:val="24"/>
                <w:highlight w:val="none"/>
                <w:lang w:val="en-US" w:eastAsia="zh-CN"/>
              </w:rPr>
              <w:t>至2035年总储气量</w:t>
            </w:r>
          </w:p>
        </w:tc>
        <w:tc>
          <w:tcPr>
            <w:tcW w:w="1661"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FF"/>
                <w:sz w:val="24"/>
                <w:highlight w:val="none"/>
                <w:lang w:val="en-US" w:eastAsia="zh-CN"/>
              </w:rPr>
            </w:pPr>
            <w:r>
              <w:rPr>
                <w:rFonts w:hint="eastAsia" w:ascii="Times New Roman" w:hAnsi="Times New Roman" w:cs="Times New Roman"/>
                <w:color w:val="0000FF"/>
                <w:sz w:val="24"/>
                <w:highlight w:val="none"/>
                <w:lang w:val="en-US" w:eastAsia="zh-CN"/>
              </w:rPr>
              <w:t>60.702</w:t>
            </w:r>
          </w:p>
        </w:tc>
      </w:tr>
    </w:tbl>
    <w:p>
      <w:pPr>
        <w:bidi w:val="0"/>
        <w:rPr>
          <w:color w:val="auto"/>
          <w:highlight w:val="none"/>
        </w:rPr>
      </w:pPr>
    </w:p>
    <w:p>
      <w:pPr>
        <w:pStyle w:val="3"/>
        <w:rPr>
          <w:color w:val="auto"/>
          <w:highlight w:val="none"/>
        </w:rPr>
      </w:pPr>
      <w:bookmarkStart w:id="53" w:name="_Toc12709"/>
      <w:r>
        <w:rPr>
          <w:rFonts w:hint="eastAsia"/>
          <w:color w:val="auto"/>
          <w:highlight w:val="none"/>
        </w:rPr>
        <w:t>第</w:t>
      </w:r>
      <w:r>
        <w:rPr>
          <w:rFonts w:hint="eastAsia"/>
          <w:color w:val="auto"/>
          <w:highlight w:val="none"/>
          <w:lang w:val="en-US" w:eastAsia="zh-CN"/>
        </w:rPr>
        <w:t>十八</w:t>
      </w:r>
      <w:r>
        <w:rPr>
          <w:rFonts w:hint="eastAsia"/>
          <w:color w:val="auto"/>
          <w:highlight w:val="none"/>
        </w:rPr>
        <w:t>条：应急储备能力规划</w:t>
      </w:r>
      <w:bookmarkEnd w:id="53"/>
    </w:p>
    <w:p>
      <w:pPr>
        <w:spacing w:line="360" w:lineRule="auto"/>
        <w:ind w:firstLine="562" w:firstLineChars="200"/>
        <w:rPr>
          <w:rFonts w:ascii="Times New Roman" w:hAnsi="Times New Roman" w:eastAsia="宋体" w:cs="Times New Roman"/>
          <w:b/>
          <w:bCs/>
          <w:color w:val="auto"/>
          <w:sz w:val="28"/>
          <w:szCs w:val="28"/>
          <w:highlight w:val="none"/>
        </w:rPr>
      </w:pPr>
      <w:r>
        <w:rPr>
          <w:rFonts w:ascii="Times New Roman" w:hAnsi="Times New Roman" w:eastAsia="宋体" w:cs="Times New Roman"/>
          <w:b/>
          <w:bCs/>
          <w:color w:val="auto"/>
          <w:sz w:val="28"/>
          <w:szCs w:val="28"/>
          <w:highlight w:val="none"/>
        </w:rPr>
        <w:t>1、</w:t>
      </w:r>
      <w:r>
        <w:rPr>
          <w:rFonts w:hint="eastAsia" w:ascii="Times New Roman" w:hAnsi="Times New Roman" w:eastAsia="宋体" w:cs="Times New Roman"/>
          <w:b/>
          <w:bCs/>
          <w:color w:val="auto"/>
          <w:sz w:val="28"/>
          <w:szCs w:val="28"/>
          <w:highlight w:val="none"/>
          <w:lang w:val="en-US" w:eastAsia="zh-CN"/>
        </w:rPr>
        <w:t>近期规</w:t>
      </w:r>
      <w:r>
        <w:rPr>
          <w:rFonts w:ascii="Times New Roman" w:hAnsi="Times New Roman" w:eastAsia="宋体" w:cs="Times New Roman"/>
          <w:b/>
          <w:bCs/>
          <w:color w:val="auto"/>
          <w:sz w:val="28"/>
          <w:szCs w:val="28"/>
          <w:highlight w:val="none"/>
        </w:rPr>
        <w:t>划期末（2025年）</w:t>
      </w:r>
    </w:p>
    <w:p>
      <w:pPr>
        <w:spacing w:line="360" w:lineRule="auto"/>
        <w:ind w:firstLine="562" w:firstLineChars="200"/>
        <w:rPr>
          <w:rFonts w:ascii="Times New Roman" w:hAnsi="Times New Roman" w:eastAsia="宋体" w:cs="Times New Roman"/>
          <w:b/>
          <w:bCs/>
          <w:color w:val="auto"/>
          <w:sz w:val="28"/>
          <w:szCs w:val="28"/>
          <w:highlight w:val="none"/>
        </w:rPr>
      </w:pPr>
      <w:r>
        <w:rPr>
          <w:rFonts w:ascii="Times New Roman" w:hAnsi="Times New Roman" w:eastAsia="宋体" w:cs="Times New Roman"/>
          <w:b/>
          <w:bCs/>
          <w:color w:val="auto"/>
          <w:sz w:val="28"/>
          <w:szCs w:val="28"/>
          <w:highlight w:val="none"/>
        </w:rPr>
        <w:t>（1）根据《城镇燃气规划规范》计算</w:t>
      </w:r>
    </w:p>
    <w:p>
      <w:pPr>
        <w:spacing w:line="360" w:lineRule="auto"/>
        <w:ind w:firstLine="560" w:firstLineChars="200"/>
        <w:rPr>
          <w:rFonts w:ascii="Times New Roman" w:hAnsi="Times New Roman" w:eastAsia="宋体" w:cs="Times New Roman"/>
          <w:color w:val="0000FF"/>
          <w:sz w:val="28"/>
          <w:szCs w:val="28"/>
          <w:highlight w:val="none"/>
        </w:rPr>
      </w:pPr>
      <w:r>
        <w:rPr>
          <w:rFonts w:ascii="Times New Roman" w:hAnsi="Times New Roman" w:eastAsia="宋体" w:cs="Times New Roman"/>
          <w:color w:val="0000FF"/>
          <w:sz w:val="28"/>
          <w:szCs w:val="28"/>
          <w:highlight w:val="none"/>
        </w:rPr>
        <w:t>根据《城镇燃气规划规范》GB/T 51098-2015之7.2.2节规定，</w:t>
      </w:r>
      <w:r>
        <w:rPr>
          <w:rFonts w:hint="eastAsia" w:ascii="Times New Roman" w:hAnsi="Times New Roman" w:eastAsia="宋体" w:cs="Times New Roman"/>
          <w:color w:val="0000FF"/>
          <w:sz w:val="28"/>
          <w:szCs w:val="28"/>
          <w:highlight w:val="none"/>
        </w:rPr>
        <w:t>“</w:t>
      </w:r>
      <w:r>
        <w:rPr>
          <w:rFonts w:ascii="Times New Roman" w:hAnsi="Times New Roman" w:eastAsia="宋体" w:cs="Times New Roman"/>
          <w:color w:val="0000FF"/>
          <w:sz w:val="28"/>
          <w:szCs w:val="28"/>
          <w:highlight w:val="none"/>
        </w:rPr>
        <w:t>城镇燃气应急储备设施的储备量应按</w:t>
      </w:r>
      <w:r>
        <w:rPr>
          <w:rFonts w:hint="eastAsia" w:ascii="Times New Roman" w:hAnsi="Times New Roman" w:eastAsia="宋体" w:cs="Times New Roman"/>
          <w:color w:val="0000FF"/>
          <w:sz w:val="28"/>
          <w:szCs w:val="28"/>
          <w:highlight w:val="none"/>
          <w:lang w:val="en-US" w:eastAsia="zh-CN"/>
        </w:rPr>
        <w:t>5d</w:t>
      </w:r>
      <w:r>
        <w:rPr>
          <w:rFonts w:ascii="Times New Roman" w:hAnsi="Times New Roman" w:eastAsia="宋体" w:cs="Times New Roman"/>
          <w:color w:val="0000FF"/>
          <w:sz w:val="28"/>
          <w:szCs w:val="28"/>
          <w:highlight w:val="none"/>
        </w:rPr>
        <w:t>城镇不可中断用气的年均日用气量计算</w:t>
      </w:r>
      <w:r>
        <w:rPr>
          <w:rFonts w:hint="eastAsia" w:ascii="Times New Roman" w:hAnsi="Times New Roman" w:eastAsia="宋体" w:cs="Times New Roman"/>
          <w:color w:val="0000FF"/>
          <w:sz w:val="28"/>
          <w:szCs w:val="28"/>
          <w:highlight w:val="none"/>
        </w:rPr>
        <w:t>”</w:t>
      </w:r>
      <w:r>
        <w:rPr>
          <w:rFonts w:ascii="Times New Roman" w:hAnsi="Times New Roman" w:eastAsia="宋体" w:cs="Times New Roman"/>
          <w:color w:val="0000FF"/>
          <w:sz w:val="28"/>
          <w:szCs w:val="28"/>
          <w:highlight w:val="none"/>
        </w:rPr>
        <w:t>。</w:t>
      </w:r>
    </w:p>
    <w:p>
      <w:pPr>
        <w:spacing w:line="360" w:lineRule="auto"/>
        <w:ind w:firstLine="560" w:firstLineChars="200"/>
        <w:rPr>
          <w:rFonts w:ascii="Times New Roman" w:hAnsi="Times New Roman" w:eastAsia="宋体" w:cs="Times New Roman"/>
          <w:color w:val="0000FF"/>
          <w:sz w:val="28"/>
          <w:szCs w:val="28"/>
          <w:highlight w:val="none"/>
        </w:rPr>
      </w:pPr>
      <w:r>
        <w:rPr>
          <w:rFonts w:hint="eastAsia" w:ascii="Times New Roman" w:hAnsi="Times New Roman" w:eastAsia="宋体" w:cs="Times New Roman"/>
          <w:color w:val="0000FF"/>
          <w:sz w:val="28"/>
          <w:szCs w:val="28"/>
          <w:highlight w:val="none"/>
          <w:lang w:val="en-US" w:eastAsia="zh-CN"/>
        </w:rPr>
        <w:t>近期</w:t>
      </w:r>
      <w:r>
        <w:rPr>
          <w:rFonts w:ascii="Times New Roman" w:hAnsi="Times New Roman" w:eastAsia="宋体" w:cs="Times New Roman"/>
          <w:color w:val="0000FF"/>
          <w:sz w:val="28"/>
          <w:szCs w:val="28"/>
          <w:highlight w:val="none"/>
        </w:rPr>
        <w:t>规划期末（2025年）</w:t>
      </w:r>
      <w:r>
        <w:rPr>
          <w:rFonts w:hint="eastAsia" w:ascii="Times New Roman" w:hAnsi="Times New Roman" w:eastAsia="宋体" w:cs="Times New Roman"/>
          <w:color w:val="0000FF"/>
          <w:sz w:val="28"/>
          <w:szCs w:val="28"/>
          <w:highlight w:val="none"/>
          <w:lang w:val="en-US" w:eastAsia="zh-CN"/>
        </w:rPr>
        <w:t>工业</w:t>
      </w:r>
      <w:r>
        <w:rPr>
          <w:rFonts w:ascii="Times New Roman" w:hAnsi="Times New Roman" w:eastAsia="宋体" w:cs="Times New Roman"/>
          <w:color w:val="0000FF"/>
          <w:sz w:val="28"/>
          <w:szCs w:val="28"/>
          <w:highlight w:val="none"/>
        </w:rPr>
        <w:t>用户平均日用气量为</w:t>
      </w:r>
      <w:r>
        <w:rPr>
          <w:rFonts w:hint="eastAsia" w:ascii="Times New Roman" w:hAnsi="Times New Roman" w:eastAsia="宋体" w:cs="Times New Roman"/>
          <w:color w:val="0000FF"/>
          <w:sz w:val="28"/>
          <w:szCs w:val="28"/>
          <w:highlight w:val="none"/>
          <w:lang w:val="en-US" w:eastAsia="zh-CN"/>
        </w:rPr>
        <w:t>25.76</w:t>
      </w:r>
      <w:r>
        <w:rPr>
          <w:rFonts w:ascii="Times New Roman" w:hAnsi="Times New Roman" w:eastAsia="宋体" w:cs="Times New Roman"/>
          <w:color w:val="0000FF"/>
          <w:sz w:val="28"/>
          <w:szCs w:val="28"/>
          <w:highlight w:val="none"/>
        </w:rPr>
        <w:t>×10</w:t>
      </w:r>
      <w:r>
        <w:rPr>
          <w:rFonts w:ascii="Times New Roman" w:hAnsi="Times New Roman" w:eastAsia="宋体" w:cs="Times New Roman"/>
          <w:color w:val="0000FF"/>
          <w:sz w:val="28"/>
          <w:szCs w:val="28"/>
          <w:highlight w:val="none"/>
          <w:vertAlign w:val="superscript"/>
        </w:rPr>
        <w:t>4</w:t>
      </w:r>
      <w:r>
        <w:rPr>
          <w:rFonts w:ascii="Times New Roman" w:hAnsi="Times New Roman" w:eastAsia="宋体" w:cs="Times New Roman"/>
          <w:color w:val="0000FF"/>
          <w:sz w:val="28"/>
          <w:szCs w:val="28"/>
          <w:highlight w:val="none"/>
        </w:rPr>
        <w:t>Nm</w:t>
      </w:r>
      <w:r>
        <w:rPr>
          <w:rFonts w:ascii="Times New Roman" w:hAnsi="Times New Roman" w:eastAsia="宋体" w:cs="Times New Roman"/>
          <w:color w:val="0000FF"/>
          <w:sz w:val="28"/>
          <w:szCs w:val="28"/>
          <w:highlight w:val="none"/>
          <w:vertAlign w:val="superscript"/>
        </w:rPr>
        <w:t>3</w:t>
      </w:r>
      <w:r>
        <w:rPr>
          <w:rFonts w:ascii="Times New Roman" w:hAnsi="Times New Roman" w:eastAsia="宋体" w:cs="Times New Roman"/>
          <w:color w:val="0000FF"/>
          <w:sz w:val="28"/>
          <w:szCs w:val="28"/>
          <w:highlight w:val="none"/>
        </w:rPr>
        <w:t>/d，则应急储备量为：</w:t>
      </w:r>
    </w:p>
    <w:p>
      <w:pPr>
        <w:spacing w:line="360" w:lineRule="auto"/>
        <w:ind w:firstLine="562" w:firstLineChars="200"/>
        <w:rPr>
          <w:rFonts w:ascii="Times New Roman" w:hAnsi="Times New Roman" w:eastAsia="宋体" w:cs="Times New Roman"/>
          <w:b/>
          <w:bCs/>
          <w:color w:val="0000FF"/>
          <w:sz w:val="28"/>
          <w:szCs w:val="28"/>
          <w:highlight w:val="none"/>
        </w:rPr>
      </w:pPr>
      <w:r>
        <w:rPr>
          <w:rFonts w:hint="eastAsia" w:ascii="Times New Roman" w:hAnsi="Times New Roman" w:eastAsia="宋体" w:cs="Times New Roman"/>
          <w:b/>
          <w:bCs/>
          <w:color w:val="0000FF"/>
          <w:sz w:val="28"/>
          <w:szCs w:val="28"/>
          <w:highlight w:val="none"/>
          <w:lang w:val="en-US" w:eastAsia="zh-CN"/>
        </w:rPr>
        <w:t>5</w:t>
      </w:r>
      <w:r>
        <w:rPr>
          <w:rFonts w:ascii="Times New Roman" w:hAnsi="Times New Roman" w:eastAsia="宋体" w:cs="Times New Roman"/>
          <w:b/>
          <w:bCs/>
          <w:color w:val="0000FF"/>
          <w:sz w:val="28"/>
          <w:szCs w:val="28"/>
          <w:highlight w:val="none"/>
        </w:rPr>
        <w:t>×</w:t>
      </w:r>
      <w:r>
        <w:rPr>
          <w:rFonts w:hint="eastAsia" w:ascii="Times New Roman" w:hAnsi="Times New Roman" w:eastAsia="宋体" w:cs="Times New Roman"/>
          <w:b/>
          <w:bCs/>
          <w:color w:val="0000FF"/>
          <w:sz w:val="28"/>
          <w:szCs w:val="28"/>
          <w:highlight w:val="none"/>
          <w:lang w:val="en-US" w:eastAsia="zh-CN"/>
        </w:rPr>
        <w:t>25.76</w:t>
      </w:r>
      <w:r>
        <w:rPr>
          <w:rFonts w:ascii="Times New Roman" w:hAnsi="Times New Roman" w:eastAsia="宋体" w:cs="Times New Roman"/>
          <w:b/>
          <w:bCs/>
          <w:color w:val="0000FF"/>
          <w:sz w:val="28"/>
          <w:szCs w:val="28"/>
          <w:highlight w:val="none"/>
        </w:rPr>
        <w:t>×10</w:t>
      </w:r>
      <w:r>
        <w:rPr>
          <w:rFonts w:ascii="Times New Roman" w:hAnsi="Times New Roman" w:eastAsia="宋体" w:cs="Times New Roman"/>
          <w:b/>
          <w:bCs/>
          <w:color w:val="0000FF"/>
          <w:sz w:val="28"/>
          <w:szCs w:val="28"/>
          <w:highlight w:val="none"/>
          <w:vertAlign w:val="superscript"/>
        </w:rPr>
        <w:t>4</w:t>
      </w:r>
      <w:r>
        <w:rPr>
          <w:rFonts w:ascii="Times New Roman" w:hAnsi="Times New Roman" w:eastAsia="宋体" w:cs="Times New Roman"/>
          <w:b/>
          <w:bCs/>
          <w:color w:val="0000FF"/>
          <w:sz w:val="28"/>
          <w:szCs w:val="28"/>
          <w:highlight w:val="none"/>
        </w:rPr>
        <w:t>=</w:t>
      </w:r>
      <w:bookmarkStart w:id="54" w:name="_Hlk99635329"/>
      <w:r>
        <w:rPr>
          <w:rFonts w:hint="eastAsia" w:ascii="Times New Roman" w:hAnsi="Times New Roman" w:eastAsia="宋体" w:cs="Times New Roman"/>
          <w:b/>
          <w:bCs/>
          <w:color w:val="0000FF"/>
          <w:sz w:val="28"/>
          <w:szCs w:val="28"/>
          <w:highlight w:val="none"/>
          <w:lang w:val="en-US" w:eastAsia="zh-CN"/>
        </w:rPr>
        <w:t>128.80</w:t>
      </w:r>
      <w:r>
        <w:rPr>
          <w:rFonts w:ascii="Times New Roman" w:hAnsi="Times New Roman" w:eastAsia="宋体" w:cs="Times New Roman"/>
          <w:b/>
          <w:bCs/>
          <w:color w:val="0000FF"/>
          <w:sz w:val="28"/>
          <w:szCs w:val="28"/>
          <w:highlight w:val="none"/>
        </w:rPr>
        <w:t>×</w:t>
      </w:r>
      <w:bookmarkEnd w:id="54"/>
      <w:r>
        <w:rPr>
          <w:rFonts w:ascii="Times New Roman" w:hAnsi="Times New Roman" w:eastAsia="宋体" w:cs="Times New Roman"/>
          <w:b/>
          <w:bCs/>
          <w:color w:val="0000FF"/>
          <w:sz w:val="28"/>
          <w:szCs w:val="28"/>
          <w:highlight w:val="none"/>
        </w:rPr>
        <w:t>10</w:t>
      </w:r>
      <w:r>
        <w:rPr>
          <w:rFonts w:ascii="Times New Roman" w:hAnsi="Times New Roman" w:eastAsia="宋体" w:cs="Times New Roman"/>
          <w:b/>
          <w:bCs/>
          <w:color w:val="0000FF"/>
          <w:sz w:val="28"/>
          <w:szCs w:val="28"/>
          <w:highlight w:val="none"/>
          <w:vertAlign w:val="superscript"/>
        </w:rPr>
        <w:t>4</w:t>
      </w:r>
      <w:r>
        <w:rPr>
          <w:rFonts w:ascii="Times New Roman" w:hAnsi="Times New Roman" w:eastAsia="宋体" w:cs="Times New Roman"/>
          <w:b/>
          <w:bCs/>
          <w:color w:val="0000FF"/>
          <w:sz w:val="28"/>
          <w:szCs w:val="28"/>
          <w:highlight w:val="none"/>
        </w:rPr>
        <w:t>Nm</w:t>
      </w:r>
      <w:r>
        <w:rPr>
          <w:rFonts w:ascii="Times New Roman" w:hAnsi="Times New Roman" w:eastAsia="宋体" w:cs="Times New Roman"/>
          <w:b/>
          <w:bCs/>
          <w:color w:val="0000FF"/>
          <w:sz w:val="28"/>
          <w:szCs w:val="28"/>
          <w:highlight w:val="none"/>
          <w:vertAlign w:val="superscript"/>
        </w:rPr>
        <w:t>3</w:t>
      </w:r>
    </w:p>
    <w:p>
      <w:pPr>
        <w:spacing w:line="360" w:lineRule="auto"/>
        <w:ind w:firstLine="560" w:firstLineChars="200"/>
        <w:rPr>
          <w:rFonts w:ascii="Times New Roman" w:hAnsi="Times New Roman" w:eastAsia="宋体" w:cs="Times New Roman"/>
          <w:b/>
          <w:bCs/>
          <w:color w:val="0000FF"/>
          <w:sz w:val="28"/>
          <w:szCs w:val="28"/>
          <w:highlight w:val="none"/>
        </w:rPr>
      </w:pPr>
      <w:r>
        <w:rPr>
          <w:rFonts w:ascii="Times New Roman" w:hAnsi="Times New Roman" w:eastAsia="宋体" w:cs="Times New Roman"/>
          <w:color w:val="0000FF"/>
          <w:sz w:val="28"/>
          <w:szCs w:val="28"/>
          <w:highlight w:val="none"/>
        </w:rPr>
        <w:t>通过以上计算，应急储备量若按</w:t>
      </w:r>
      <w:r>
        <w:rPr>
          <w:rFonts w:hint="eastAsia" w:ascii="Times New Roman" w:hAnsi="Times New Roman" w:eastAsia="宋体" w:cs="Times New Roman"/>
          <w:color w:val="0000FF"/>
          <w:sz w:val="28"/>
          <w:szCs w:val="28"/>
          <w:highlight w:val="none"/>
          <w:lang w:val="en-US" w:eastAsia="zh-CN"/>
        </w:rPr>
        <w:t>5d</w:t>
      </w:r>
      <w:r>
        <w:rPr>
          <w:rFonts w:ascii="Times New Roman" w:hAnsi="Times New Roman" w:eastAsia="宋体" w:cs="Times New Roman"/>
          <w:color w:val="0000FF"/>
          <w:sz w:val="28"/>
          <w:szCs w:val="28"/>
          <w:highlight w:val="none"/>
        </w:rPr>
        <w:t>不可中断用气的年均日用气量，近期规划期末（2025年）应急储备需求量为</w:t>
      </w:r>
      <w:r>
        <w:rPr>
          <w:rFonts w:hint="eastAsia" w:ascii="Times New Roman" w:hAnsi="Times New Roman" w:eastAsia="宋体" w:cs="Times New Roman"/>
          <w:b/>
          <w:bCs/>
          <w:color w:val="0000FF"/>
          <w:sz w:val="28"/>
          <w:szCs w:val="28"/>
          <w:highlight w:val="none"/>
          <w:lang w:val="en-US" w:eastAsia="zh-CN"/>
        </w:rPr>
        <w:t>128.80</w:t>
      </w:r>
      <w:r>
        <w:rPr>
          <w:rFonts w:ascii="Times New Roman" w:hAnsi="Times New Roman" w:eastAsia="宋体" w:cs="Times New Roman"/>
          <w:b/>
          <w:bCs/>
          <w:color w:val="0000FF"/>
          <w:sz w:val="28"/>
          <w:szCs w:val="28"/>
          <w:highlight w:val="none"/>
        </w:rPr>
        <w:t>×10</w:t>
      </w:r>
      <w:r>
        <w:rPr>
          <w:rFonts w:ascii="Times New Roman" w:hAnsi="Times New Roman" w:eastAsia="宋体" w:cs="Times New Roman"/>
          <w:b/>
          <w:bCs/>
          <w:color w:val="0000FF"/>
          <w:sz w:val="28"/>
          <w:szCs w:val="28"/>
          <w:highlight w:val="none"/>
          <w:vertAlign w:val="superscript"/>
        </w:rPr>
        <w:t>4</w:t>
      </w:r>
      <w:r>
        <w:rPr>
          <w:rFonts w:ascii="Times New Roman" w:hAnsi="Times New Roman" w:eastAsia="宋体" w:cs="Times New Roman"/>
          <w:b/>
          <w:bCs/>
          <w:color w:val="0000FF"/>
          <w:sz w:val="28"/>
          <w:szCs w:val="28"/>
          <w:highlight w:val="none"/>
        </w:rPr>
        <w:t>Nm</w:t>
      </w:r>
      <w:r>
        <w:rPr>
          <w:rFonts w:ascii="Times New Roman" w:hAnsi="Times New Roman" w:eastAsia="宋体" w:cs="Times New Roman"/>
          <w:b/>
          <w:bCs/>
          <w:color w:val="0000FF"/>
          <w:sz w:val="28"/>
          <w:szCs w:val="28"/>
          <w:highlight w:val="none"/>
          <w:vertAlign w:val="superscript"/>
        </w:rPr>
        <w:t>3</w:t>
      </w:r>
      <w:r>
        <w:rPr>
          <w:rFonts w:ascii="Times New Roman" w:hAnsi="Times New Roman" w:eastAsia="宋体" w:cs="Times New Roman"/>
          <w:b/>
          <w:bCs/>
          <w:color w:val="0000FF"/>
          <w:sz w:val="28"/>
          <w:szCs w:val="28"/>
          <w:highlight w:val="none"/>
        </w:rPr>
        <w:t>。</w:t>
      </w:r>
    </w:p>
    <w:p>
      <w:pPr>
        <w:ind w:firstLine="562" w:firstLineChars="200"/>
        <w:rPr>
          <w:rFonts w:ascii="Times New Roman" w:hAnsi="Times New Roman" w:cs="Times New Roman"/>
          <w:b/>
          <w:bCs/>
          <w:color w:val="auto"/>
          <w:sz w:val="28"/>
          <w:szCs w:val="28"/>
          <w:highlight w:val="none"/>
        </w:rPr>
      </w:pPr>
      <w:r>
        <w:rPr>
          <w:rFonts w:ascii="Times New Roman" w:hAnsi="Times New Roman" w:cs="Times New Roman"/>
          <w:b/>
          <w:bCs/>
          <w:color w:val="auto"/>
          <w:sz w:val="28"/>
          <w:szCs w:val="28"/>
          <w:highlight w:val="none"/>
        </w:rPr>
        <w:t>（2）国家相关政策应急储备量</w:t>
      </w:r>
    </w:p>
    <w:p>
      <w:pPr>
        <w:ind w:firstLine="560" w:firstLineChars="200"/>
        <w:rPr>
          <w:rFonts w:ascii="Times New Roman" w:hAnsi="Times New Roman" w:cs="Times New Roman"/>
          <w:color w:val="auto"/>
          <w:sz w:val="28"/>
          <w:szCs w:val="28"/>
          <w:highlight w:val="none"/>
        </w:rPr>
      </w:pPr>
      <w:bookmarkStart w:id="55" w:name="_Toc98607845"/>
      <w:r>
        <w:rPr>
          <w:rFonts w:ascii="Times New Roman" w:hAnsi="Times New Roman" w:cs="Times New Roman"/>
          <w:color w:val="auto"/>
          <w:sz w:val="28"/>
          <w:szCs w:val="28"/>
          <w:highlight w:val="none"/>
        </w:rPr>
        <w:t>根据2018年4月26日国家发展改革委和国家能源局发布的《关于加快储气设施建设和完善储气调峰辅助服务市场机制的意见》的通知（发改能源规</w:t>
      </w:r>
      <w:r>
        <w:rPr>
          <w:rFonts w:ascii="Times New Roman" w:hAnsi="Times New Roman" w:eastAsia="宋体" w:cs="Times New Roman"/>
          <w:color w:val="auto"/>
          <w:sz w:val="28"/>
          <w:szCs w:val="28"/>
          <w:highlight w:val="none"/>
        </w:rPr>
        <w:t>〔201</w:t>
      </w:r>
      <w:r>
        <w:rPr>
          <w:rFonts w:hint="eastAsia" w:ascii="Times New Roman" w:hAnsi="Times New Roman" w:eastAsia="宋体" w:cs="Times New Roman"/>
          <w:color w:val="auto"/>
          <w:sz w:val="28"/>
          <w:szCs w:val="28"/>
          <w:highlight w:val="none"/>
          <w:lang w:val="en-US" w:eastAsia="zh-CN"/>
        </w:rPr>
        <w:t>8</w:t>
      </w:r>
      <w:r>
        <w:rPr>
          <w:rFonts w:ascii="Times New Roman" w:hAnsi="Times New Roman" w:eastAsia="宋体" w:cs="Times New Roman"/>
          <w:color w:val="auto"/>
          <w:sz w:val="28"/>
          <w:szCs w:val="28"/>
          <w:highlight w:val="none"/>
        </w:rPr>
        <w:t>〕</w:t>
      </w:r>
      <w:r>
        <w:rPr>
          <w:rFonts w:ascii="Times New Roman" w:hAnsi="Times New Roman" w:cs="Times New Roman"/>
          <w:color w:val="auto"/>
          <w:sz w:val="28"/>
          <w:szCs w:val="28"/>
          <w:highlight w:val="none"/>
        </w:rPr>
        <w:t>637号），</w:t>
      </w:r>
      <w:r>
        <w:rPr>
          <w:rFonts w:hint="eastAsia" w:ascii="Times New Roman" w:hAnsi="Times New Roman" w:cs="Times New Roman"/>
          <w:color w:val="0000FF"/>
          <w:sz w:val="28"/>
          <w:szCs w:val="28"/>
          <w:highlight w:val="none"/>
        </w:rPr>
        <w:t>“</w:t>
      </w:r>
      <w:r>
        <w:rPr>
          <w:rFonts w:ascii="Times New Roman" w:hAnsi="Times New Roman" w:cs="Times New Roman"/>
          <w:color w:val="0000FF"/>
          <w:sz w:val="28"/>
          <w:szCs w:val="28"/>
          <w:highlight w:val="none"/>
        </w:rPr>
        <w:t>城镇燃气企业要建立天然气储备，形成不低于其年用气量5%的储气能力</w:t>
      </w:r>
      <w:r>
        <w:rPr>
          <w:rFonts w:hint="eastAsia" w:ascii="Times New Roman" w:hAnsi="Times New Roman" w:cs="Times New Roman"/>
          <w:color w:val="0000FF"/>
          <w:sz w:val="28"/>
          <w:szCs w:val="28"/>
          <w:highlight w:val="none"/>
        </w:rPr>
        <w:t>”</w:t>
      </w:r>
      <w:r>
        <w:rPr>
          <w:rFonts w:ascii="Times New Roman" w:hAnsi="Times New Roman" w:cs="Times New Roman"/>
          <w:color w:val="0000FF"/>
          <w:sz w:val="28"/>
          <w:szCs w:val="28"/>
          <w:highlight w:val="none"/>
        </w:rPr>
        <w:t>。</w:t>
      </w:r>
    </w:p>
    <w:p>
      <w:pPr>
        <w:ind w:firstLine="560" w:firstLineChars="200"/>
        <w:rPr>
          <w:rFonts w:ascii="Times New Roman" w:hAnsi="Times New Roman" w:cs="Times New Roman"/>
          <w:color w:val="0000FF"/>
          <w:sz w:val="28"/>
          <w:szCs w:val="28"/>
          <w:highlight w:val="none"/>
        </w:rPr>
      </w:pPr>
      <w:r>
        <w:rPr>
          <w:rFonts w:hint="eastAsia" w:ascii="Times New Roman" w:hAnsi="Times New Roman" w:cs="Times New Roman"/>
          <w:color w:val="0000FF"/>
          <w:sz w:val="28"/>
          <w:szCs w:val="28"/>
          <w:highlight w:val="none"/>
          <w:lang w:val="en-US" w:eastAsia="zh-CN"/>
        </w:rPr>
        <w:t>近期</w:t>
      </w:r>
      <w:r>
        <w:rPr>
          <w:rFonts w:ascii="Times New Roman" w:hAnsi="Times New Roman" w:cs="Times New Roman"/>
          <w:color w:val="0000FF"/>
          <w:sz w:val="28"/>
          <w:szCs w:val="28"/>
          <w:highlight w:val="none"/>
        </w:rPr>
        <w:t>规划期末（2025年）</w:t>
      </w:r>
      <w:r>
        <w:rPr>
          <w:rFonts w:hint="eastAsia" w:ascii="Times New Roman" w:hAnsi="Times New Roman" w:cs="Times New Roman"/>
          <w:color w:val="0000FF"/>
          <w:sz w:val="28"/>
          <w:szCs w:val="28"/>
          <w:highlight w:val="none"/>
          <w:lang w:val="en-US" w:eastAsia="zh-CN"/>
        </w:rPr>
        <w:t>工业</w:t>
      </w:r>
      <w:r>
        <w:rPr>
          <w:rFonts w:ascii="Times New Roman" w:hAnsi="Times New Roman" w:cs="Times New Roman"/>
          <w:color w:val="0000FF"/>
          <w:sz w:val="28"/>
          <w:szCs w:val="28"/>
          <w:highlight w:val="none"/>
        </w:rPr>
        <w:t>用户年用气量为</w:t>
      </w:r>
      <w:r>
        <w:rPr>
          <w:rFonts w:hint="eastAsia" w:ascii="Times New Roman" w:hAnsi="Times New Roman" w:cs="Times New Roman"/>
          <w:color w:val="0000FF"/>
          <w:sz w:val="28"/>
          <w:szCs w:val="28"/>
          <w:highlight w:val="none"/>
          <w:lang w:val="en-US" w:eastAsia="zh-CN"/>
        </w:rPr>
        <w:t>9274.30</w:t>
      </w:r>
      <w:r>
        <w:rPr>
          <w:rFonts w:ascii="Times New Roman" w:hAnsi="Times New Roman" w:cs="Times New Roman"/>
          <w:color w:val="0000FF"/>
          <w:sz w:val="28"/>
          <w:szCs w:val="28"/>
          <w:highlight w:val="none"/>
        </w:rPr>
        <w:t>×10</w:t>
      </w:r>
      <w:r>
        <w:rPr>
          <w:rFonts w:hint="eastAsia" w:ascii="Times New Roman" w:hAnsi="Times New Roman" w:cs="Times New Roman"/>
          <w:color w:val="0000FF"/>
          <w:sz w:val="28"/>
          <w:szCs w:val="28"/>
          <w:highlight w:val="none"/>
          <w:vertAlign w:val="superscript"/>
        </w:rPr>
        <w:t>4</w:t>
      </w:r>
      <w:r>
        <w:rPr>
          <w:rFonts w:ascii="Times New Roman" w:hAnsi="Times New Roman" w:cs="Times New Roman"/>
          <w:color w:val="0000FF"/>
          <w:sz w:val="28"/>
          <w:szCs w:val="28"/>
          <w:highlight w:val="none"/>
        </w:rPr>
        <w:t>Nm</w:t>
      </w:r>
      <w:r>
        <w:rPr>
          <w:rFonts w:ascii="Times New Roman" w:hAnsi="Times New Roman" w:cs="Times New Roman"/>
          <w:color w:val="0000FF"/>
          <w:sz w:val="28"/>
          <w:szCs w:val="28"/>
          <w:highlight w:val="none"/>
          <w:vertAlign w:val="superscript"/>
        </w:rPr>
        <w:t>3</w:t>
      </w:r>
      <w:r>
        <w:rPr>
          <w:rFonts w:ascii="Times New Roman" w:hAnsi="Times New Roman" w:cs="Times New Roman"/>
          <w:color w:val="0000FF"/>
          <w:sz w:val="28"/>
          <w:szCs w:val="28"/>
          <w:highlight w:val="none"/>
        </w:rPr>
        <w:t>/a，则应急储备量为：</w:t>
      </w:r>
    </w:p>
    <w:p>
      <w:pPr>
        <w:ind w:firstLine="562" w:firstLineChars="200"/>
        <w:rPr>
          <w:rFonts w:ascii="Times New Roman" w:hAnsi="Times New Roman" w:cs="Times New Roman"/>
          <w:b/>
          <w:bCs/>
          <w:color w:val="0000FF"/>
          <w:sz w:val="28"/>
          <w:szCs w:val="28"/>
          <w:highlight w:val="none"/>
        </w:rPr>
      </w:pPr>
      <w:r>
        <w:rPr>
          <w:rFonts w:hint="eastAsia" w:ascii="Times New Roman" w:hAnsi="Times New Roman" w:cs="Times New Roman"/>
          <w:b/>
          <w:bCs/>
          <w:color w:val="0000FF"/>
          <w:sz w:val="28"/>
          <w:szCs w:val="28"/>
          <w:highlight w:val="none"/>
          <w:lang w:val="en-US" w:eastAsia="zh-CN"/>
        </w:rPr>
        <w:t>9274.30</w:t>
      </w:r>
      <w:r>
        <w:rPr>
          <w:rFonts w:ascii="Times New Roman" w:hAnsi="Times New Roman" w:cs="Times New Roman"/>
          <w:b/>
          <w:bCs/>
          <w:color w:val="0000FF"/>
          <w:sz w:val="28"/>
          <w:szCs w:val="28"/>
          <w:highlight w:val="none"/>
        </w:rPr>
        <w:t>×10</w:t>
      </w:r>
      <w:r>
        <w:rPr>
          <w:rFonts w:hint="eastAsia" w:ascii="Times New Roman" w:hAnsi="Times New Roman" w:cs="Times New Roman"/>
          <w:b/>
          <w:bCs/>
          <w:color w:val="0000FF"/>
          <w:sz w:val="28"/>
          <w:szCs w:val="28"/>
          <w:highlight w:val="none"/>
          <w:vertAlign w:val="superscript"/>
        </w:rPr>
        <w:t>4</w:t>
      </w:r>
      <w:r>
        <w:rPr>
          <w:rFonts w:ascii="Times New Roman" w:hAnsi="Times New Roman" w:cs="Times New Roman"/>
          <w:b/>
          <w:bCs/>
          <w:color w:val="0000FF"/>
          <w:sz w:val="28"/>
          <w:szCs w:val="28"/>
          <w:highlight w:val="none"/>
        </w:rPr>
        <w:t>×5%=</w:t>
      </w:r>
      <w:r>
        <w:rPr>
          <w:rFonts w:hint="eastAsia" w:ascii="Times New Roman" w:hAnsi="Times New Roman" w:cs="Times New Roman"/>
          <w:b/>
          <w:bCs/>
          <w:color w:val="0000FF"/>
          <w:sz w:val="28"/>
          <w:szCs w:val="28"/>
          <w:highlight w:val="none"/>
          <w:lang w:val="en-US" w:eastAsia="zh-CN"/>
        </w:rPr>
        <w:t>463.72</w:t>
      </w:r>
      <w:r>
        <w:rPr>
          <w:rFonts w:ascii="Times New Roman" w:hAnsi="Times New Roman" w:cs="Times New Roman"/>
          <w:b/>
          <w:bCs/>
          <w:color w:val="0000FF"/>
          <w:sz w:val="28"/>
          <w:szCs w:val="28"/>
          <w:highlight w:val="none"/>
        </w:rPr>
        <w:t>×10</w:t>
      </w:r>
      <w:r>
        <w:rPr>
          <w:rFonts w:ascii="Times New Roman" w:hAnsi="Times New Roman" w:cs="Times New Roman"/>
          <w:b/>
          <w:bCs/>
          <w:color w:val="0000FF"/>
          <w:sz w:val="28"/>
          <w:szCs w:val="28"/>
          <w:highlight w:val="none"/>
          <w:vertAlign w:val="superscript"/>
        </w:rPr>
        <w:t>4</w:t>
      </w:r>
      <w:r>
        <w:rPr>
          <w:rFonts w:ascii="Times New Roman" w:hAnsi="Times New Roman" w:cs="Times New Roman"/>
          <w:b/>
          <w:bCs/>
          <w:color w:val="0000FF"/>
          <w:sz w:val="28"/>
          <w:szCs w:val="28"/>
          <w:highlight w:val="none"/>
        </w:rPr>
        <w:t>Nm</w:t>
      </w:r>
      <w:r>
        <w:rPr>
          <w:rFonts w:ascii="Times New Roman" w:hAnsi="Times New Roman" w:cs="Times New Roman"/>
          <w:b/>
          <w:bCs/>
          <w:color w:val="0000FF"/>
          <w:sz w:val="28"/>
          <w:szCs w:val="28"/>
          <w:highlight w:val="none"/>
          <w:vertAlign w:val="superscript"/>
        </w:rPr>
        <w:t>3</w:t>
      </w:r>
    </w:p>
    <w:p>
      <w:pPr>
        <w:spacing w:line="360" w:lineRule="auto"/>
        <w:ind w:firstLine="560" w:firstLineChars="200"/>
        <w:rPr>
          <w:rFonts w:hint="eastAsia" w:ascii="Times New Roman" w:hAnsi="Times New Roman" w:cs="Times New Roman"/>
          <w:b/>
          <w:color w:val="0000FF"/>
          <w:sz w:val="28"/>
          <w:szCs w:val="28"/>
          <w:highlight w:val="none"/>
          <w:lang w:eastAsia="zh-CN"/>
        </w:rPr>
      </w:pPr>
      <w:r>
        <w:rPr>
          <w:rFonts w:ascii="Times New Roman" w:hAnsi="Times New Roman" w:cs="Times New Roman"/>
          <w:color w:val="0000FF"/>
          <w:sz w:val="28"/>
          <w:szCs w:val="28"/>
          <w:highlight w:val="none"/>
        </w:rPr>
        <w:t>通过以上计算，政府及城镇燃气企业应急储备设施储备需求量为</w:t>
      </w:r>
      <w:r>
        <w:rPr>
          <w:rFonts w:hint="eastAsia" w:ascii="Times New Roman" w:hAnsi="Times New Roman" w:cs="Times New Roman"/>
          <w:b/>
          <w:bCs/>
          <w:color w:val="0000FF"/>
          <w:sz w:val="28"/>
          <w:szCs w:val="28"/>
          <w:highlight w:val="none"/>
          <w:lang w:val="en-US" w:eastAsia="zh-CN"/>
        </w:rPr>
        <w:t>592.52</w:t>
      </w:r>
      <w:r>
        <w:rPr>
          <w:rFonts w:ascii="Times New Roman" w:hAnsi="Times New Roman" w:cs="Times New Roman"/>
          <w:b/>
          <w:bCs/>
          <w:color w:val="0000FF"/>
          <w:sz w:val="28"/>
          <w:szCs w:val="28"/>
          <w:highlight w:val="none"/>
        </w:rPr>
        <w:t>×10</w:t>
      </w:r>
      <w:r>
        <w:rPr>
          <w:rFonts w:ascii="Times New Roman" w:hAnsi="Times New Roman" w:cs="Times New Roman"/>
          <w:b/>
          <w:bCs/>
          <w:color w:val="0000FF"/>
          <w:sz w:val="28"/>
          <w:szCs w:val="28"/>
          <w:highlight w:val="none"/>
          <w:vertAlign w:val="superscript"/>
        </w:rPr>
        <w:t>4</w:t>
      </w:r>
      <w:r>
        <w:rPr>
          <w:rFonts w:ascii="Times New Roman" w:hAnsi="Times New Roman" w:cs="Times New Roman"/>
          <w:b/>
          <w:bCs/>
          <w:color w:val="0000FF"/>
          <w:sz w:val="28"/>
          <w:szCs w:val="28"/>
          <w:highlight w:val="none"/>
        </w:rPr>
        <w:t>Nm</w:t>
      </w:r>
      <w:r>
        <w:rPr>
          <w:rFonts w:ascii="Times New Roman" w:hAnsi="Times New Roman" w:cs="Times New Roman"/>
          <w:b/>
          <w:bCs/>
          <w:color w:val="0000FF"/>
          <w:sz w:val="28"/>
          <w:szCs w:val="28"/>
          <w:highlight w:val="none"/>
          <w:vertAlign w:val="superscript"/>
        </w:rPr>
        <w:t>3</w:t>
      </w:r>
      <w:r>
        <w:rPr>
          <w:rFonts w:ascii="Times New Roman" w:hAnsi="Times New Roman" w:cs="Times New Roman"/>
          <w:color w:val="0000FF"/>
          <w:sz w:val="28"/>
          <w:szCs w:val="28"/>
          <w:highlight w:val="none"/>
        </w:rPr>
        <w:t>。其中地方政府储量需求为：</w:t>
      </w:r>
      <w:r>
        <w:rPr>
          <w:rFonts w:hint="eastAsia" w:ascii="Times New Roman" w:hAnsi="Times New Roman" w:cs="Times New Roman"/>
          <w:b/>
          <w:bCs/>
          <w:color w:val="0000FF"/>
          <w:sz w:val="28"/>
          <w:szCs w:val="28"/>
          <w:highlight w:val="none"/>
          <w:lang w:val="en-US" w:eastAsia="zh-CN"/>
        </w:rPr>
        <w:t>128.80</w:t>
      </w:r>
      <w:r>
        <w:rPr>
          <w:rFonts w:ascii="Times New Roman" w:hAnsi="Times New Roman" w:cs="Times New Roman"/>
          <w:b/>
          <w:bCs/>
          <w:color w:val="0000FF"/>
          <w:sz w:val="28"/>
          <w:szCs w:val="28"/>
          <w:highlight w:val="none"/>
        </w:rPr>
        <w:t>×</w:t>
      </w:r>
      <w:r>
        <w:rPr>
          <w:rFonts w:ascii="Times New Roman" w:hAnsi="Times New Roman" w:cs="Times New Roman"/>
          <w:b/>
          <w:color w:val="0000FF"/>
          <w:sz w:val="28"/>
          <w:szCs w:val="28"/>
          <w:highlight w:val="none"/>
        </w:rPr>
        <w:t>10</w:t>
      </w:r>
      <w:r>
        <w:rPr>
          <w:rFonts w:ascii="Times New Roman" w:hAnsi="Times New Roman" w:cs="Times New Roman"/>
          <w:b/>
          <w:color w:val="0000FF"/>
          <w:sz w:val="28"/>
          <w:szCs w:val="28"/>
          <w:highlight w:val="none"/>
          <w:vertAlign w:val="superscript"/>
        </w:rPr>
        <w:t>4</w:t>
      </w:r>
      <w:r>
        <w:rPr>
          <w:rFonts w:ascii="Times New Roman" w:hAnsi="Times New Roman" w:cs="Times New Roman"/>
          <w:b/>
          <w:color w:val="0000FF"/>
          <w:sz w:val="28"/>
          <w:szCs w:val="28"/>
          <w:highlight w:val="none"/>
        </w:rPr>
        <w:t>Nm</w:t>
      </w:r>
      <w:r>
        <w:rPr>
          <w:rFonts w:ascii="Times New Roman" w:hAnsi="Times New Roman" w:cs="Times New Roman"/>
          <w:b/>
          <w:color w:val="0000FF"/>
          <w:sz w:val="28"/>
          <w:szCs w:val="28"/>
          <w:highlight w:val="none"/>
          <w:vertAlign w:val="superscript"/>
        </w:rPr>
        <w:t>3</w:t>
      </w:r>
      <w:r>
        <w:rPr>
          <w:rFonts w:ascii="Times New Roman" w:hAnsi="Times New Roman" w:cs="Times New Roman"/>
          <w:b/>
          <w:color w:val="0000FF"/>
          <w:sz w:val="28"/>
          <w:szCs w:val="28"/>
          <w:highlight w:val="none"/>
        </w:rPr>
        <w:t xml:space="preserve">（折合LNG </w:t>
      </w:r>
      <w:r>
        <w:rPr>
          <w:rFonts w:hint="eastAsia" w:ascii="Times New Roman" w:hAnsi="Times New Roman" w:cs="Times New Roman"/>
          <w:b/>
          <w:color w:val="0000FF"/>
          <w:sz w:val="28"/>
          <w:szCs w:val="28"/>
          <w:highlight w:val="none"/>
        </w:rPr>
        <w:t>0.</w:t>
      </w:r>
      <w:r>
        <w:rPr>
          <w:rFonts w:hint="eastAsia" w:ascii="Times New Roman" w:hAnsi="Times New Roman" w:cs="Times New Roman"/>
          <w:b/>
          <w:color w:val="0000FF"/>
          <w:sz w:val="28"/>
          <w:szCs w:val="28"/>
          <w:highlight w:val="none"/>
          <w:lang w:val="en-US" w:eastAsia="zh-CN"/>
        </w:rPr>
        <w:t>206</w:t>
      </w:r>
      <w:r>
        <w:rPr>
          <w:rFonts w:ascii="Times New Roman" w:hAnsi="Times New Roman" w:cs="Times New Roman"/>
          <w:b/>
          <w:color w:val="0000FF"/>
          <w:sz w:val="28"/>
          <w:szCs w:val="28"/>
          <w:highlight w:val="none"/>
        </w:rPr>
        <w:t>×10</w:t>
      </w:r>
      <w:r>
        <w:rPr>
          <w:rFonts w:ascii="Times New Roman" w:hAnsi="Times New Roman" w:cs="Times New Roman"/>
          <w:b/>
          <w:color w:val="0000FF"/>
          <w:sz w:val="28"/>
          <w:szCs w:val="28"/>
          <w:highlight w:val="none"/>
          <w:vertAlign w:val="superscript"/>
        </w:rPr>
        <w:t>4</w:t>
      </w:r>
      <w:r>
        <w:rPr>
          <w:rFonts w:ascii="Times New Roman" w:hAnsi="Times New Roman" w:cs="Times New Roman"/>
          <w:b/>
          <w:color w:val="0000FF"/>
          <w:sz w:val="28"/>
          <w:szCs w:val="28"/>
          <w:highlight w:val="none"/>
        </w:rPr>
        <w:t>m</w:t>
      </w:r>
      <w:r>
        <w:rPr>
          <w:rFonts w:ascii="Times New Roman" w:hAnsi="Times New Roman" w:cs="Times New Roman"/>
          <w:b/>
          <w:color w:val="0000FF"/>
          <w:sz w:val="28"/>
          <w:szCs w:val="28"/>
          <w:highlight w:val="none"/>
          <w:vertAlign w:val="superscript"/>
        </w:rPr>
        <w:t>3</w:t>
      </w:r>
      <w:r>
        <w:rPr>
          <w:rFonts w:ascii="Times New Roman" w:hAnsi="Times New Roman" w:cs="Times New Roman"/>
          <w:b/>
          <w:color w:val="0000FF"/>
          <w:sz w:val="28"/>
          <w:szCs w:val="28"/>
          <w:highlight w:val="none"/>
        </w:rPr>
        <w:t>）</w:t>
      </w:r>
      <w:r>
        <w:rPr>
          <w:rFonts w:ascii="Times New Roman" w:hAnsi="Times New Roman" w:cs="Times New Roman"/>
          <w:color w:val="0000FF"/>
          <w:sz w:val="28"/>
          <w:szCs w:val="28"/>
          <w:highlight w:val="none"/>
        </w:rPr>
        <w:t>，企业储量需求为：</w:t>
      </w:r>
      <w:r>
        <w:rPr>
          <w:rFonts w:hint="eastAsia" w:ascii="Times New Roman" w:hAnsi="Times New Roman" w:cs="Times New Roman"/>
          <w:b/>
          <w:bCs/>
          <w:color w:val="0000FF"/>
          <w:sz w:val="28"/>
          <w:szCs w:val="28"/>
          <w:highlight w:val="none"/>
          <w:lang w:val="en-US" w:eastAsia="zh-CN"/>
        </w:rPr>
        <w:t>463.72</w:t>
      </w:r>
      <w:r>
        <w:rPr>
          <w:rFonts w:ascii="Times New Roman" w:hAnsi="Times New Roman" w:cs="Times New Roman"/>
          <w:b/>
          <w:color w:val="0000FF"/>
          <w:sz w:val="28"/>
          <w:szCs w:val="28"/>
          <w:highlight w:val="none"/>
        </w:rPr>
        <w:t>×10</w:t>
      </w:r>
      <w:r>
        <w:rPr>
          <w:rFonts w:ascii="Times New Roman" w:hAnsi="Times New Roman" w:cs="Times New Roman"/>
          <w:b/>
          <w:color w:val="0000FF"/>
          <w:sz w:val="28"/>
          <w:szCs w:val="28"/>
          <w:highlight w:val="none"/>
          <w:vertAlign w:val="superscript"/>
        </w:rPr>
        <w:t>4</w:t>
      </w:r>
      <w:r>
        <w:rPr>
          <w:rFonts w:ascii="Times New Roman" w:hAnsi="Times New Roman" w:cs="Times New Roman"/>
          <w:b/>
          <w:color w:val="0000FF"/>
          <w:sz w:val="28"/>
          <w:szCs w:val="28"/>
          <w:highlight w:val="none"/>
        </w:rPr>
        <w:t>Nm</w:t>
      </w:r>
      <w:r>
        <w:rPr>
          <w:rFonts w:ascii="Times New Roman" w:hAnsi="Times New Roman" w:cs="Times New Roman"/>
          <w:b/>
          <w:color w:val="0000FF"/>
          <w:sz w:val="28"/>
          <w:szCs w:val="28"/>
          <w:highlight w:val="none"/>
          <w:vertAlign w:val="superscript"/>
        </w:rPr>
        <w:t>3</w:t>
      </w:r>
      <w:r>
        <w:rPr>
          <w:rFonts w:ascii="Times New Roman" w:hAnsi="Times New Roman" w:cs="Times New Roman"/>
          <w:b/>
          <w:color w:val="0000FF"/>
          <w:sz w:val="28"/>
          <w:szCs w:val="28"/>
          <w:highlight w:val="none"/>
        </w:rPr>
        <w:t>（折合LNG</w:t>
      </w:r>
      <w:r>
        <w:rPr>
          <w:rFonts w:hint="eastAsia" w:ascii="Times New Roman" w:hAnsi="Times New Roman" w:cs="Times New Roman"/>
          <w:b/>
          <w:color w:val="0000FF"/>
          <w:sz w:val="28"/>
          <w:szCs w:val="28"/>
          <w:highlight w:val="none"/>
          <w:lang w:val="en-US" w:eastAsia="zh-CN"/>
        </w:rPr>
        <w:t xml:space="preserve"> 0.742</w:t>
      </w:r>
      <w:r>
        <w:rPr>
          <w:rFonts w:ascii="Times New Roman" w:hAnsi="Times New Roman" w:cs="Times New Roman"/>
          <w:b/>
          <w:color w:val="0000FF"/>
          <w:sz w:val="28"/>
          <w:szCs w:val="28"/>
          <w:highlight w:val="none"/>
        </w:rPr>
        <w:t>×10</w:t>
      </w:r>
      <w:r>
        <w:rPr>
          <w:rFonts w:ascii="Times New Roman" w:hAnsi="Times New Roman" w:cs="Times New Roman"/>
          <w:b/>
          <w:color w:val="0000FF"/>
          <w:sz w:val="28"/>
          <w:szCs w:val="28"/>
          <w:highlight w:val="none"/>
          <w:vertAlign w:val="superscript"/>
        </w:rPr>
        <w:t>4</w:t>
      </w:r>
      <w:r>
        <w:rPr>
          <w:rFonts w:ascii="Times New Roman" w:hAnsi="Times New Roman" w:cs="Times New Roman"/>
          <w:b/>
          <w:color w:val="0000FF"/>
          <w:sz w:val="28"/>
          <w:szCs w:val="28"/>
          <w:highlight w:val="none"/>
        </w:rPr>
        <w:t>m</w:t>
      </w:r>
      <w:r>
        <w:rPr>
          <w:rFonts w:ascii="Times New Roman" w:hAnsi="Times New Roman" w:cs="Times New Roman"/>
          <w:b/>
          <w:color w:val="0000FF"/>
          <w:sz w:val="28"/>
          <w:szCs w:val="28"/>
          <w:highlight w:val="none"/>
          <w:vertAlign w:val="superscript"/>
        </w:rPr>
        <w:t>3</w:t>
      </w:r>
      <w:r>
        <w:rPr>
          <w:rFonts w:ascii="Times New Roman" w:hAnsi="Times New Roman" w:cs="Times New Roman"/>
          <w:b/>
          <w:color w:val="0000FF"/>
          <w:sz w:val="28"/>
          <w:szCs w:val="28"/>
          <w:highlight w:val="none"/>
        </w:rPr>
        <w:t>）</w:t>
      </w:r>
      <w:r>
        <w:rPr>
          <w:rFonts w:hint="eastAsia" w:ascii="Times New Roman" w:hAnsi="Times New Roman" w:cs="Times New Roman"/>
          <w:b/>
          <w:color w:val="0000FF"/>
          <w:sz w:val="28"/>
          <w:szCs w:val="28"/>
          <w:highlight w:val="none"/>
          <w:lang w:eastAsia="zh-CN"/>
        </w:rPr>
        <w:t>。</w:t>
      </w:r>
    </w:p>
    <w:p>
      <w:pPr>
        <w:spacing w:line="360" w:lineRule="auto"/>
        <w:ind w:firstLine="562" w:firstLineChars="200"/>
        <w:rPr>
          <w:rFonts w:ascii="Times New Roman" w:hAnsi="Times New Roman" w:eastAsia="宋体" w:cs="Times New Roman"/>
          <w:b/>
          <w:bCs/>
          <w:color w:val="0000FF"/>
          <w:sz w:val="28"/>
          <w:szCs w:val="28"/>
          <w:highlight w:val="none"/>
        </w:rPr>
      </w:pPr>
      <w:r>
        <w:rPr>
          <w:rFonts w:hint="eastAsia" w:ascii="Times New Roman" w:hAnsi="Times New Roman" w:eastAsia="宋体" w:cs="Times New Roman"/>
          <w:b/>
          <w:bCs/>
          <w:color w:val="0000FF"/>
          <w:sz w:val="28"/>
          <w:szCs w:val="28"/>
          <w:highlight w:val="none"/>
          <w:lang w:val="en-US" w:eastAsia="zh-CN"/>
        </w:rPr>
        <w:t>2</w:t>
      </w:r>
      <w:r>
        <w:rPr>
          <w:rFonts w:ascii="Times New Roman" w:hAnsi="Times New Roman" w:eastAsia="宋体" w:cs="Times New Roman"/>
          <w:b/>
          <w:bCs/>
          <w:color w:val="0000FF"/>
          <w:sz w:val="28"/>
          <w:szCs w:val="28"/>
          <w:highlight w:val="none"/>
        </w:rPr>
        <w:t>、</w:t>
      </w:r>
      <w:r>
        <w:rPr>
          <w:rFonts w:hint="eastAsia" w:ascii="Times New Roman" w:hAnsi="Times New Roman" w:eastAsia="宋体" w:cs="Times New Roman"/>
          <w:b/>
          <w:bCs/>
          <w:color w:val="0000FF"/>
          <w:sz w:val="28"/>
          <w:szCs w:val="28"/>
          <w:highlight w:val="none"/>
          <w:lang w:val="en-US" w:eastAsia="zh-CN"/>
        </w:rPr>
        <w:t>中期规划期末</w:t>
      </w:r>
      <w:r>
        <w:rPr>
          <w:rFonts w:hint="eastAsia" w:ascii="Times New Roman" w:hAnsi="Times New Roman" w:eastAsia="宋体" w:cs="Times New Roman"/>
          <w:b/>
          <w:bCs/>
          <w:color w:val="0000FF"/>
          <w:sz w:val="28"/>
          <w:szCs w:val="28"/>
          <w:highlight w:val="none"/>
          <w:lang w:eastAsia="zh-CN"/>
        </w:rPr>
        <w:t>（</w:t>
      </w:r>
      <w:r>
        <w:rPr>
          <w:rFonts w:ascii="Times New Roman" w:hAnsi="Times New Roman" w:eastAsia="宋体" w:cs="Times New Roman"/>
          <w:b/>
          <w:bCs/>
          <w:color w:val="0000FF"/>
          <w:sz w:val="28"/>
          <w:szCs w:val="28"/>
          <w:highlight w:val="none"/>
        </w:rPr>
        <w:t>20</w:t>
      </w:r>
      <w:r>
        <w:rPr>
          <w:rFonts w:hint="eastAsia" w:ascii="Times New Roman" w:hAnsi="Times New Roman" w:eastAsia="宋体" w:cs="Times New Roman"/>
          <w:b/>
          <w:bCs/>
          <w:color w:val="0000FF"/>
          <w:sz w:val="28"/>
          <w:szCs w:val="28"/>
          <w:highlight w:val="none"/>
          <w:lang w:val="en-US" w:eastAsia="zh-CN"/>
        </w:rPr>
        <w:t>30</w:t>
      </w:r>
      <w:r>
        <w:rPr>
          <w:rFonts w:ascii="Times New Roman" w:hAnsi="Times New Roman" w:eastAsia="宋体" w:cs="Times New Roman"/>
          <w:b/>
          <w:bCs/>
          <w:color w:val="0000FF"/>
          <w:sz w:val="28"/>
          <w:szCs w:val="28"/>
          <w:highlight w:val="none"/>
        </w:rPr>
        <w:t>年</w:t>
      </w:r>
      <w:r>
        <w:rPr>
          <w:rFonts w:hint="eastAsia" w:ascii="Times New Roman" w:hAnsi="Times New Roman" w:eastAsia="宋体" w:cs="Times New Roman"/>
          <w:b/>
          <w:bCs/>
          <w:color w:val="0000FF"/>
          <w:sz w:val="28"/>
          <w:szCs w:val="28"/>
          <w:highlight w:val="none"/>
          <w:lang w:eastAsia="zh-CN"/>
        </w:rPr>
        <w:t>）</w:t>
      </w:r>
    </w:p>
    <w:p>
      <w:pPr>
        <w:spacing w:line="360" w:lineRule="auto"/>
        <w:ind w:firstLine="560" w:firstLineChars="200"/>
        <w:rPr>
          <w:rFonts w:ascii="Times New Roman" w:hAnsi="Times New Roman" w:eastAsia="宋体" w:cs="Times New Roman"/>
          <w:color w:val="0000FF"/>
          <w:sz w:val="28"/>
          <w:szCs w:val="28"/>
          <w:highlight w:val="none"/>
        </w:rPr>
      </w:pPr>
      <w:r>
        <w:rPr>
          <w:rFonts w:ascii="Times New Roman" w:hAnsi="Times New Roman" w:eastAsia="宋体" w:cs="Times New Roman"/>
          <w:color w:val="0000FF"/>
          <w:sz w:val="28"/>
          <w:szCs w:val="28"/>
          <w:highlight w:val="none"/>
        </w:rPr>
        <w:t>（1）根据《城镇燃气规划规范》计算</w:t>
      </w:r>
    </w:p>
    <w:p>
      <w:pPr>
        <w:spacing w:line="360" w:lineRule="auto"/>
        <w:ind w:firstLine="560" w:firstLineChars="200"/>
        <w:rPr>
          <w:rFonts w:ascii="Times New Roman" w:hAnsi="Times New Roman" w:eastAsia="宋体" w:cs="Times New Roman"/>
          <w:color w:val="0000FF"/>
          <w:sz w:val="28"/>
          <w:szCs w:val="28"/>
          <w:highlight w:val="none"/>
        </w:rPr>
      </w:pPr>
      <w:r>
        <w:rPr>
          <w:rFonts w:ascii="Times New Roman" w:hAnsi="Times New Roman" w:eastAsia="宋体" w:cs="Times New Roman"/>
          <w:color w:val="0000FF"/>
          <w:sz w:val="28"/>
          <w:szCs w:val="28"/>
          <w:highlight w:val="none"/>
        </w:rPr>
        <w:t>根据《城镇燃气规划规范》GB/T 51098-2015之7.2.2节规定，</w:t>
      </w:r>
      <w:r>
        <w:rPr>
          <w:rFonts w:hint="eastAsia" w:ascii="Times New Roman" w:hAnsi="Times New Roman" w:eastAsia="宋体" w:cs="Times New Roman"/>
          <w:color w:val="0000FF"/>
          <w:sz w:val="28"/>
          <w:szCs w:val="28"/>
          <w:highlight w:val="none"/>
        </w:rPr>
        <w:t>“</w:t>
      </w:r>
      <w:r>
        <w:rPr>
          <w:rFonts w:ascii="Times New Roman" w:hAnsi="Times New Roman" w:eastAsia="宋体" w:cs="Times New Roman"/>
          <w:color w:val="0000FF"/>
          <w:sz w:val="28"/>
          <w:szCs w:val="28"/>
          <w:highlight w:val="none"/>
        </w:rPr>
        <w:t>城镇燃气应急储备设施的储备量应按</w:t>
      </w:r>
      <w:r>
        <w:rPr>
          <w:rFonts w:hint="eastAsia" w:ascii="Times New Roman" w:hAnsi="Times New Roman" w:eastAsia="宋体" w:cs="Times New Roman"/>
          <w:color w:val="0000FF"/>
          <w:sz w:val="28"/>
          <w:szCs w:val="28"/>
          <w:highlight w:val="none"/>
          <w:lang w:val="en-US" w:eastAsia="zh-CN"/>
        </w:rPr>
        <w:t>5d</w:t>
      </w:r>
      <w:r>
        <w:rPr>
          <w:rFonts w:ascii="Times New Roman" w:hAnsi="Times New Roman" w:eastAsia="宋体" w:cs="Times New Roman"/>
          <w:color w:val="0000FF"/>
          <w:sz w:val="28"/>
          <w:szCs w:val="28"/>
          <w:highlight w:val="none"/>
        </w:rPr>
        <w:t>城镇不可中断用气的年均日用气量计算</w:t>
      </w:r>
      <w:r>
        <w:rPr>
          <w:rFonts w:hint="eastAsia" w:ascii="Times New Roman" w:hAnsi="Times New Roman" w:eastAsia="宋体" w:cs="Times New Roman"/>
          <w:color w:val="0000FF"/>
          <w:sz w:val="28"/>
          <w:szCs w:val="28"/>
          <w:highlight w:val="none"/>
        </w:rPr>
        <w:t>”</w:t>
      </w:r>
      <w:r>
        <w:rPr>
          <w:rFonts w:ascii="Times New Roman" w:hAnsi="Times New Roman" w:eastAsia="宋体" w:cs="Times New Roman"/>
          <w:color w:val="0000FF"/>
          <w:sz w:val="28"/>
          <w:szCs w:val="28"/>
          <w:highlight w:val="none"/>
        </w:rPr>
        <w:t>。</w:t>
      </w:r>
    </w:p>
    <w:p>
      <w:pPr>
        <w:spacing w:line="360" w:lineRule="auto"/>
        <w:ind w:firstLine="560" w:firstLineChars="200"/>
        <w:rPr>
          <w:rFonts w:ascii="Times New Roman" w:hAnsi="Times New Roman" w:eastAsia="宋体" w:cs="Times New Roman"/>
          <w:color w:val="0000FF"/>
          <w:sz w:val="28"/>
          <w:szCs w:val="28"/>
          <w:highlight w:val="none"/>
        </w:rPr>
      </w:pPr>
      <w:r>
        <w:rPr>
          <w:rFonts w:hint="eastAsia" w:ascii="Times New Roman" w:hAnsi="Times New Roman" w:eastAsia="宋体" w:cs="Times New Roman"/>
          <w:color w:val="0000FF"/>
          <w:sz w:val="28"/>
          <w:szCs w:val="28"/>
          <w:highlight w:val="none"/>
          <w:lang w:val="en-US" w:eastAsia="zh-CN"/>
        </w:rPr>
        <w:t>中期</w:t>
      </w:r>
      <w:r>
        <w:rPr>
          <w:rFonts w:ascii="Times New Roman" w:hAnsi="Times New Roman" w:eastAsia="宋体" w:cs="Times New Roman"/>
          <w:color w:val="0000FF"/>
          <w:sz w:val="28"/>
          <w:szCs w:val="28"/>
          <w:highlight w:val="none"/>
        </w:rPr>
        <w:t>规划期末（20</w:t>
      </w:r>
      <w:r>
        <w:rPr>
          <w:rFonts w:hint="eastAsia" w:ascii="Times New Roman" w:hAnsi="Times New Roman" w:eastAsia="宋体" w:cs="Times New Roman"/>
          <w:color w:val="0000FF"/>
          <w:sz w:val="28"/>
          <w:szCs w:val="28"/>
          <w:highlight w:val="none"/>
          <w:lang w:val="en-US" w:eastAsia="zh-CN"/>
        </w:rPr>
        <w:t>30</w:t>
      </w:r>
      <w:r>
        <w:rPr>
          <w:rFonts w:ascii="Times New Roman" w:hAnsi="Times New Roman" w:eastAsia="宋体" w:cs="Times New Roman"/>
          <w:color w:val="0000FF"/>
          <w:sz w:val="28"/>
          <w:szCs w:val="28"/>
          <w:highlight w:val="none"/>
        </w:rPr>
        <w:t>年）</w:t>
      </w:r>
      <w:r>
        <w:rPr>
          <w:rFonts w:hint="eastAsia" w:ascii="Times New Roman" w:hAnsi="Times New Roman" w:eastAsia="宋体" w:cs="Times New Roman"/>
          <w:color w:val="0000FF"/>
          <w:sz w:val="28"/>
          <w:szCs w:val="28"/>
          <w:highlight w:val="none"/>
          <w:lang w:val="en-US" w:eastAsia="zh-CN"/>
        </w:rPr>
        <w:t>工业</w:t>
      </w:r>
      <w:r>
        <w:rPr>
          <w:rFonts w:ascii="Times New Roman" w:hAnsi="Times New Roman" w:eastAsia="宋体" w:cs="Times New Roman"/>
          <w:color w:val="0000FF"/>
          <w:sz w:val="28"/>
          <w:szCs w:val="28"/>
          <w:highlight w:val="none"/>
        </w:rPr>
        <w:t>用户平均日用气量为</w:t>
      </w:r>
      <w:r>
        <w:rPr>
          <w:rFonts w:hint="eastAsia" w:ascii="Times New Roman" w:hAnsi="Times New Roman" w:eastAsia="宋体" w:cs="Times New Roman"/>
          <w:color w:val="0000FF"/>
          <w:sz w:val="28"/>
          <w:szCs w:val="28"/>
          <w:highlight w:val="none"/>
          <w:lang w:val="en-US" w:eastAsia="zh-CN"/>
        </w:rPr>
        <w:t>38.97</w:t>
      </w:r>
      <w:r>
        <w:rPr>
          <w:rFonts w:ascii="Times New Roman" w:hAnsi="Times New Roman" w:eastAsia="宋体" w:cs="Times New Roman"/>
          <w:color w:val="0000FF"/>
          <w:sz w:val="28"/>
          <w:szCs w:val="28"/>
          <w:highlight w:val="none"/>
        </w:rPr>
        <w:t>×10</w:t>
      </w:r>
      <w:r>
        <w:rPr>
          <w:rFonts w:ascii="Times New Roman" w:hAnsi="Times New Roman" w:eastAsia="宋体" w:cs="Times New Roman"/>
          <w:color w:val="0000FF"/>
          <w:sz w:val="28"/>
          <w:szCs w:val="28"/>
          <w:highlight w:val="none"/>
          <w:vertAlign w:val="superscript"/>
        </w:rPr>
        <w:t>4</w:t>
      </w:r>
      <w:r>
        <w:rPr>
          <w:rFonts w:ascii="Times New Roman" w:hAnsi="Times New Roman" w:eastAsia="宋体" w:cs="Times New Roman"/>
          <w:color w:val="0000FF"/>
          <w:sz w:val="28"/>
          <w:szCs w:val="28"/>
          <w:highlight w:val="none"/>
        </w:rPr>
        <w:t>Nm</w:t>
      </w:r>
      <w:r>
        <w:rPr>
          <w:rFonts w:ascii="Times New Roman" w:hAnsi="Times New Roman" w:eastAsia="宋体" w:cs="Times New Roman"/>
          <w:color w:val="0000FF"/>
          <w:sz w:val="28"/>
          <w:szCs w:val="28"/>
          <w:highlight w:val="none"/>
          <w:vertAlign w:val="superscript"/>
        </w:rPr>
        <w:t>3</w:t>
      </w:r>
      <w:r>
        <w:rPr>
          <w:rFonts w:ascii="Times New Roman" w:hAnsi="Times New Roman" w:eastAsia="宋体" w:cs="Times New Roman"/>
          <w:color w:val="0000FF"/>
          <w:sz w:val="28"/>
          <w:szCs w:val="28"/>
          <w:highlight w:val="none"/>
        </w:rPr>
        <w:t>/d，则应急储备量为：</w:t>
      </w:r>
    </w:p>
    <w:p>
      <w:pPr>
        <w:spacing w:line="360" w:lineRule="auto"/>
        <w:ind w:firstLine="562" w:firstLineChars="200"/>
        <w:rPr>
          <w:rFonts w:ascii="Times New Roman" w:hAnsi="Times New Roman" w:eastAsia="宋体" w:cs="Times New Roman"/>
          <w:b/>
          <w:bCs/>
          <w:color w:val="0000FF"/>
          <w:sz w:val="28"/>
          <w:szCs w:val="28"/>
          <w:highlight w:val="none"/>
        </w:rPr>
      </w:pPr>
      <w:r>
        <w:rPr>
          <w:rFonts w:hint="eastAsia" w:ascii="Times New Roman" w:hAnsi="Times New Roman" w:eastAsia="宋体" w:cs="Times New Roman"/>
          <w:b/>
          <w:bCs/>
          <w:color w:val="0000FF"/>
          <w:sz w:val="28"/>
          <w:szCs w:val="28"/>
          <w:highlight w:val="none"/>
          <w:lang w:val="en-US" w:eastAsia="zh-CN"/>
        </w:rPr>
        <w:t>5</w:t>
      </w:r>
      <w:r>
        <w:rPr>
          <w:rFonts w:ascii="Times New Roman" w:hAnsi="Times New Roman" w:eastAsia="宋体" w:cs="Times New Roman"/>
          <w:b/>
          <w:bCs/>
          <w:color w:val="0000FF"/>
          <w:sz w:val="28"/>
          <w:szCs w:val="28"/>
          <w:highlight w:val="none"/>
        </w:rPr>
        <w:t>×</w:t>
      </w:r>
      <w:r>
        <w:rPr>
          <w:rFonts w:hint="eastAsia" w:ascii="Times New Roman" w:hAnsi="Times New Roman" w:eastAsia="宋体" w:cs="Times New Roman"/>
          <w:b/>
          <w:bCs/>
          <w:color w:val="0000FF"/>
          <w:sz w:val="28"/>
          <w:szCs w:val="28"/>
          <w:highlight w:val="none"/>
          <w:lang w:val="en-US" w:eastAsia="zh-CN"/>
        </w:rPr>
        <w:t>38.97</w:t>
      </w:r>
      <w:r>
        <w:rPr>
          <w:rFonts w:ascii="Times New Roman" w:hAnsi="Times New Roman" w:eastAsia="宋体" w:cs="Times New Roman"/>
          <w:b/>
          <w:bCs/>
          <w:color w:val="0000FF"/>
          <w:sz w:val="28"/>
          <w:szCs w:val="28"/>
          <w:highlight w:val="none"/>
        </w:rPr>
        <w:t>×10</w:t>
      </w:r>
      <w:r>
        <w:rPr>
          <w:rFonts w:ascii="Times New Roman" w:hAnsi="Times New Roman" w:eastAsia="宋体" w:cs="Times New Roman"/>
          <w:b/>
          <w:bCs/>
          <w:color w:val="0000FF"/>
          <w:sz w:val="28"/>
          <w:szCs w:val="28"/>
          <w:highlight w:val="none"/>
          <w:vertAlign w:val="superscript"/>
        </w:rPr>
        <w:t>4</w:t>
      </w:r>
      <w:r>
        <w:rPr>
          <w:rFonts w:ascii="Times New Roman" w:hAnsi="Times New Roman" w:eastAsia="宋体" w:cs="Times New Roman"/>
          <w:b/>
          <w:bCs/>
          <w:color w:val="0000FF"/>
          <w:sz w:val="28"/>
          <w:szCs w:val="28"/>
          <w:highlight w:val="none"/>
        </w:rPr>
        <w:t>=</w:t>
      </w:r>
      <w:r>
        <w:rPr>
          <w:rFonts w:hint="eastAsia" w:ascii="Times New Roman" w:hAnsi="Times New Roman" w:eastAsia="宋体" w:cs="Times New Roman"/>
          <w:b/>
          <w:bCs/>
          <w:color w:val="0000FF"/>
          <w:sz w:val="28"/>
          <w:szCs w:val="28"/>
          <w:highlight w:val="none"/>
          <w:lang w:val="en-US" w:eastAsia="zh-CN"/>
        </w:rPr>
        <w:t>194.85</w:t>
      </w:r>
      <w:r>
        <w:rPr>
          <w:rFonts w:ascii="Times New Roman" w:hAnsi="Times New Roman" w:eastAsia="宋体" w:cs="Times New Roman"/>
          <w:b/>
          <w:bCs/>
          <w:color w:val="0000FF"/>
          <w:sz w:val="28"/>
          <w:szCs w:val="28"/>
          <w:highlight w:val="none"/>
        </w:rPr>
        <w:t>×10</w:t>
      </w:r>
      <w:r>
        <w:rPr>
          <w:rFonts w:ascii="Times New Roman" w:hAnsi="Times New Roman" w:eastAsia="宋体" w:cs="Times New Roman"/>
          <w:b/>
          <w:bCs/>
          <w:color w:val="0000FF"/>
          <w:sz w:val="28"/>
          <w:szCs w:val="28"/>
          <w:highlight w:val="none"/>
          <w:vertAlign w:val="superscript"/>
        </w:rPr>
        <w:t>4</w:t>
      </w:r>
      <w:r>
        <w:rPr>
          <w:rFonts w:ascii="Times New Roman" w:hAnsi="Times New Roman" w:eastAsia="宋体" w:cs="Times New Roman"/>
          <w:b/>
          <w:bCs/>
          <w:color w:val="0000FF"/>
          <w:sz w:val="28"/>
          <w:szCs w:val="28"/>
          <w:highlight w:val="none"/>
        </w:rPr>
        <w:t>Nm</w:t>
      </w:r>
      <w:r>
        <w:rPr>
          <w:rFonts w:ascii="Times New Roman" w:hAnsi="Times New Roman" w:eastAsia="宋体" w:cs="Times New Roman"/>
          <w:b/>
          <w:bCs/>
          <w:color w:val="0000FF"/>
          <w:sz w:val="28"/>
          <w:szCs w:val="28"/>
          <w:highlight w:val="none"/>
          <w:vertAlign w:val="superscript"/>
        </w:rPr>
        <w:t>3</w:t>
      </w:r>
    </w:p>
    <w:p>
      <w:pPr>
        <w:spacing w:line="360" w:lineRule="auto"/>
        <w:ind w:firstLine="560" w:firstLineChars="200"/>
        <w:rPr>
          <w:rFonts w:ascii="Times New Roman" w:hAnsi="Times New Roman" w:eastAsia="宋体" w:cs="Times New Roman"/>
          <w:b/>
          <w:bCs/>
          <w:color w:val="0000FF"/>
          <w:sz w:val="28"/>
          <w:szCs w:val="28"/>
          <w:highlight w:val="none"/>
        </w:rPr>
      </w:pPr>
      <w:r>
        <w:rPr>
          <w:rFonts w:ascii="Times New Roman" w:hAnsi="Times New Roman" w:eastAsia="宋体" w:cs="Times New Roman"/>
          <w:color w:val="0000FF"/>
          <w:sz w:val="28"/>
          <w:szCs w:val="28"/>
          <w:highlight w:val="none"/>
        </w:rPr>
        <w:t>通过以上计算，应急储备量若按</w:t>
      </w:r>
      <w:r>
        <w:rPr>
          <w:rFonts w:hint="eastAsia" w:ascii="Times New Roman" w:hAnsi="Times New Roman" w:eastAsia="宋体" w:cs="Times New Roman"/>
          <w:color w:val="0000FF"/>
          <w:sz w:val="28"/>
          <w:szCs w:val="28"/>
          <w:highlight w:val="none"/>
          <w:lang w:val="en-US" w:eastAsia="zh-CN"/>
        </w:rPr>
        <w:t>5d</w:t>
      </w:r>
      <w:r>
        <w:rPr>
          <w:rFonts w:ascii="Times New Roman" w:hAnsi="Times New Roman" w:eastAsia="宋体" w:cs="Times New Roman"/>
          <w:color w:val="0000FF"/>
          <w:sz w:val="28"/>
          <w:szCs w:val="28"/>
          <w:highlight w:val="none"/>
        </w:rPr>
        <w:t>不可中断用气的年均日用气量，</w:t>
      </w:r>
      <w:r>
        <w:rPr>
          <w:rFonts w:hint="eastAsia" w:ascii="Times New Roman" w:hAnsi="Times New Roman" w:eastAsia="宋体" w:cs="Times New Roman"/>
          <w:color w:val="0000FF"/>
          <w:sz w:val="28"/>
          <w:szCs w:val="28"/>
          <w:highlight w:val="none"/>
          <w:lang w:val="en-US" w:eastAsia="zh-CN"/>
        </w:rPr>
        <w:t>中期</w:t>
      </w:r>
      <w:r>
        <w:rPr>
          <w:rFonts w:ascii="Times New Roman" w:hAnsi="Times New Roman" w:eastAsia="宋体" w:cs="Times New Roman"/>
          <w:color w:val="0000FF"/>
          <w:sz w:val="28"/>
          <w:szCs w:val="28"/>
          <w:highlight w:val="none"/>
        </w:rPr>
        <w:t>规划期末（20</w:t>
      </w:r>
      <w:r>
        <w:rPr>
          <w:rFonts w:hint="eastAsia" w:ascii="Times New Roman" w:hAnsi="Times New Roman" w:eastAsia="宋体" w:cs="Times New Roman"/>
          <w:color w:val="0000FF"/>
          <w:sz w:val="28"/>
          <w:szCs w:val="28"/>
          <w:highlight w:val="none"/>
          <w:lang w:val="en-US" w:eastAsia="zh-CN"/>
        </w:rPr>
        <w:t>30</w:t>
      </w:r>
      <w:r>
        <w:rPr>
          <w:rFonts w:ascii="Times New Roman" w:hAnsi="Times New Roman" w:eastAsia="宋体" w:cs="Times New Roman"/>
          <w:color w:val="0000FF"/>
          <w:sz w:val="28"/>
          <w:szCs w:val="28"/>
          <w:highlight w:val="none"/>
        </w:rPr>
        <w:t>年）应急储备需求量为</w:t>
      </w:r>
      <w:r>
        <w:rPr>
          <w:rFonts w:hint="eastAsia" w:ascii="Times New Roman" w:hAnsi="Times New Roman" w:eastAsia="宋体" w:cs="Times New Roman"/>
          <w:b/>
          <w:bCs/>
          <w:color w:val="0000FF"/>
          <w:sz w:val="28"/>
          <w:szCs w:val="28"/>
          <w:highlight w:val="none"/>
          <w:lang w:val="en-US" w:eastAsia="zh-CN"/>
        </w:rPr>
        <w:t>194.85</w:t>
      </w:r>
      <w:r>
        <w:rPr>
          <w:rFonts w:ascii="Times New Roman" w:hAnsi="Times New Roman" w:eastAsia="宋体" w:cs="Times New Roman"/>
          <w:b/>
          <w:bCs/>
          <w:color w:val="0000FF"/>
          <w:sz w:val="28"/>
          <w:szCs w:val="28"/>
          <w:highlight w:val="none"/>
        </w:rPr>
        <w:t>×10</w:t>
      </w:r>
      <w:r>
        <w:rPr>
          <w:rFonts w:ascii="Times New Roman" w:hAnsi="Times New Roman" w:eastAsia="宋体" w:cs="Times New Roman"/>
          <w:b/>
          <w:bCs/>
          <w:color w:val="0000FF"/>
          <w:sz w:val="28"/>
          <w:szCs w:val="28"/>
          <w:highlight w:val="none"/>
          <w:vertAlign w:val="superscript"/>
        </w:rPr>
        <w:t>4</w:t>
      </w:r>
      <w:r>
        <w:rPr>
          <w:rFonts w:ascii="Times New Roman" w:hAnsi="Times New Roman" w:eastAsia="宋体" w:cs="Times New Roman"/>
          <w:b/>
          <w:bCs/>
          <w:color w:val="0000FF"/>
          <w:sz w:val="28"/>
          <w:szCs w:val="28"/>
          <w:highlight w:val="none"/>
        </w:rPr>
        <w:t>Nm</w:t>
      </w:r>
      <w:r>
        <w:rPr>
          <w:rFonts w:ascii="Times New Roman" w:hAnsi="Times New Roman" w:eastAsia="宋体" w:cs="Times New Roman"/>
          <w:b/>
          <w:bCs/>
          <w:color w:val="0000FF"/>
          <w:sz w:val="28"/>
          <w:szCs w:val="28"/>
          <w:highlight w:val="none"/>
          <w:vertAlign w:val="superscript"/>
        </w:rPr>
        <w:t>3</w:t>
      </w:r>
      <w:r>
        <w:rPr>
          <w:rFonts w:ascii="Times New Roman" w:hAnsi="Times New Roman" w:eastAsia="宋体" w:cs="Times New Roman"/>
          <w:b/>
          <w:bCs/>
          <w:color w:val="0000FF"/>
          <w:sz w:val="28"/>
          <w:szCs w:val="28"/>
          <w:highlight w:val="none"/>
        </w:rPr>
        <w:t>。</w:t>
      </w:r>
    </w:p>
    <w:p>
      <w:pPr>
        <w:ind w:firstLine="560" w:firstLineChars="20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（2）国家相关政策应急储备量</w:t>
      </w:r>
    </w:p>
    <w:p>
      <w:pPr>
        <w:ind w:firstLine="560" w:firstLineChars="20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根据2018年4月26日国家发展改革委和国家能源局发布的《关于加快储气设施建设和完善储气调峰辅助服务市场机制的意见》的通知（发改能源规</w:t>
      </w:r>
      <w:r>
        <w:rPr>
          <w:rFonts w:ascii="Times New Roman" w:hAnsi="Times New Roman" w:eastAsia="宋体" w:cs="Times New Roman"/>
          <w:color w:val="auto"/>
          <w:sz w:val="28"/>
          <w:szCs w:val="28"/>
          <w:highlight w:val="none"/>
        </w:rPr>
        <w:t>〔201</w:t>
      </w:r>
      <w:r>
        <w:rPr>
          <w:rFonts w:hint="eastAsia" w:ascii="Times New Roman" w:hAnsi="Times New Roman" w:eastAsia="宋体" w:cs="Times New Roman"/>
          <w:color w:val="auto"/>
          <w:sz w:val="28"/>
          <w:szCs w:val="28"/>
          <w:highlight w:val="none"/>
          <w:lang w:val="en-US" w:eastAsia="zh-CN"/>
        </w:rPr>
        <w:t>8</w:t>
      </w:r>
      <w:r>
        <w:rPr>
          <w:rFonts w:ascii="Times New Roman" w:hAnsi="Times New Roman" w:eastAsia="宋体" w:cs="Times New Roman"/>
          <w:color w:val="auto"/>
          <w:sz w:val="28"/>
          <w:szCs w:val="28"/>
          <w:highlight w:val="none"/>
        </w:rPr>
        <w:t>〕</w:t>
      </w:r>
      <w:r>
        <w:rPr>
          <w:rFonts w:ascii="Times New Roman" w:hAnsi="Times New Roman" w:cs="Times New Roman"/>
          <w:color w:val="auto"/>
          <w:sz w:val="28"/>
          <w:szCs w:val="28"/>
          <w:highlight w:val="none"/>
        </w:rPr>
        <w:t>637号），</w:t>
      </w:r>
      <w:r>
        <w:rPr>
          <w:rFonts w:hint="eastAsia" w:ascii="Times New Roman" w:hAnsi="Times New Roman" w:cs="Times New Roman"/>
          <w:color w:val="0000FF"/>
          <w:sz w:val="28"/>
          <w:szCs w:val="28"/>
          <w:highlight w:val="none"/>
        </w:rPr>
        <w:t>“</w:t>
      </w:r>
      <w:r>
        <w:rPr>
          <w:rFonts w:ascii="Times New Roman" w:hAnsi="Times New Roman" w:cs="Times New Roman"/>
          <w:color w:val="0000FF"/>
          <w:sz w:val="28"/>
          <w:szCs w:val="28"/>
          <w:highlight w:val="none"/>
        </w:rPr>
        <w:t>城镇燃气企业要建立天然气储备，形成不低于其年用气量5%的储气能力</w:t>
      </w:r>
      <w:r>
        <w:rPr>
          <w:rFonts w:hint="eastAsia" w:ascii="Times New Roman" w:hAnsi="Times New Roman" w:cs="Times New Roman"/>
          <w:color w:val="0000FF"/>
          <w:sz w:val="28"/>
          <w:szCs w:val="28"/>
          <w:highlight w:val="none"/>
        </w:rPr>
        <w:t>”</w:t>
      </w:r>
      <w:r>
        <w:rPr>
          <w:rFonts w:ascii="Times New Roman" w:hAnsi="Times New Roman" w:cs="Times New Roman"/>
          <w:color w:val="0000FF"/>
          <w:sz w:val="28"/>
          <w:szCs w:val="28"/>
          <w:highlight w:val="none"/>
        </w:rPr>
        <w:t>。</w:t>
      </w:r>
    </w:p>
    <w:p>
      <w:pPr>
        <w:ind w:firstLine="560" w:firstLineChars="200"/>
        <w:rPr>
          <w:rFonts w:ascii="Times New Roman" w:hAnsi="Times New Roman" w:cs="Times New Roman"/>
          <w:color w:val="0000FF"/>
          <w:sz w:val="28"/>
          <w:szCs w:val="28"/>
          <w:highlight w:val="none"/>
        </w:rPr>
      </w:pPr>
      <w:r>
        <w:rPr>
          <w:rFonts w:hint="eastAsia" w:ascii="Times New Roman" w:hAnsi="Times New Roman" w:cs="Times New Roman"/>
          <w:color w:val="0000FF"/>
          <w:sz w:val="28"/>
          <w:szCs w:val="28"/>
          <w:highlight w:val="none"/>
          <w:lang w:val="en-US" w:eastAsia="zh-CN"/>
        </w:rPr>
        <w:t>中期</w:t>
      </w:r>
      <w:r>
        <w:rPr>
          <w:rFonts w:ascii="Times New Roman" w:hAnsi="Times New Roman" w:cs="Times New Roman"/>
          <w:color w:val="0000FF"/>
          <w:sz w:val="28"/>
          <w:szCs w:val="28"/>
          <w:highlight w:val="none"/>
        </w:rPr>
        <w:t>规划期末（20</w:t>
      </w:r>
      <w:r>
        <w:rPr>
          <w:rFonts w:hint="eastAsia" w:ascii="Times New Roman" w:hAnsi="Times New Roman" w:cs="Times New Roman"/>
          <w:color w:val="0000FF"/>
          <w:sz w:val="28"/>
          <w:szCs w:val="28"/>
          <w:highlight w:val="none"/>
          <w:lang w:val="en-US" w:eastAsia="zh-CN"/>
        </w:rPr>
        <w:t>30</w:t>
      </w:r>
      <w:r>
        <w:rPr>
          <w:rFonts w:ascii="Times New Roman" w:hAnsi="Times New Roman" w:cs="Times New Roman"/>
          <w:color w:val="0000FF"/>
          <w:sz w:val="28"/>
          <w:szCs w:val="28"/>
          <w:highlight w:val="none"/>
        </w:rPr>
        <w:t>年）</w:t>
      </w:r>
      <w:r>
        <w:rPr>
          <w:rFonts w:hint="eastAsia" w:ascii="Times New Roman" w:hAnsi="Times New Roman" w:cs="Times New Roman"/>
          <w:color w:val="0000FF"/>
          <w:sz w:val="28"/>
          <w:szCs w:val="28"/>
          <w:highlight w:val="none"/>
          <w:lang w:val="en-US" w:eastAsia="zh-CN"/>
        </w:rPr>
        <w:t>工业</w:t>
      </w:r>
      <w:r>
        <w:rPr>
          <w:rFonts w:ascii="Times New Roman" w:hAnsi="Times New Roman" w:cs="Times New Roman"/>
          <w:color w:val="0000FF"/>
          <w:sz w:val="28"/>
          <w:szCs w:val="28"/>
          <w:highlight w:val="none"/>
        </w:rPr>
        <w:t>用户年用气量为</w:t>
      </w:r>
      <w:r>
        <w:rPr>
          <w:rFonts w:hint="eastAsia" w:ascii="Times New Roman" w:hAnsi="Times New Roman" w:cs="Times New Roman"/>
          <w:color w:val="0000FF"/>
          <w:sz w:val="28"/>
          <w:szCs w:val="28"/>
          <w:highlight w:val="none"/>
          <w:lang w:val="en-US" w:eastAsia="zh-CN"/>
        </w:rPr>
        <w:t>14029.73</w:t>
      </w:r>
      <w:r>
        <w:rPr>
          <w:rFonts w:ascii="Times New Roman" w:hAnsi="Times New Roman" w:cs="Times New Roman"/>
          <w:color w:val="0000FF"/>
          <w:sz w:val="28"/>
          <w:szCs w:val="28"/>
          <w:highlight w:val="none"/>
        </w:rPr>
        <w:t>×10</w:t>
      </w:r>
      <w:r>
        <w:rPr>
          <w:rFonts w:hint="eastAsia" w:ascii="Times New Roman" w:hAnsi="Times New Roman" w:cs="Times New Roman"/>
          <w:color w:val="0000FF"/>
          <w:sz w:val="28"/>
          <w:szCs w:val="28"/>
          <w:highlight w:val="none"/>
          <w:vertAlign w:val="superscript"/>
        </w:rPr>
        <w:t>4</w:t>
      </w:r>
      <w:r>
        <w:rPr>
          <w:rFonts w:ascii="Times New Roman" w:hAnsi="Times New Roman" w:cs="Times New Roman"/>
          <w:color w:val="0000FF"/>
          <w:sz w:val="28"/>
          <w:szCs w:val="28"/>
          <w:highlight w:val="none"/>
        </w:rPr>
        <w:t>Nm</w:t>
      </w:r>
      <w:r>
        <w:rPr>
          <w:rFonts w:ascii="Times New Roman" w:hAnsi="Times New Roman" w:cs="Times New Roman"/>
          <w:color w:val="0000FF"/>
          <w:sz w:val="28"/>
          <w:szCs w:val="28"/>
          <w:highlight w:val="none"/>
          <w:vertAlign w:val="superscript"/>
        </w:rPr>
        <w:t>3</w:t>
      </w:r>
      <w:r>
        <w:rPr>
          <w:rFonts w:ascii="Times New Roman" w:hAnsi="Times New Roman" w:cs="Times New Roman"/>
          <w:color w:val="0000FF"/>
          <w:sz w:val="28"/>
          <w:szCs w:val="28"/>
          <w:highlight w:val="none"/>
        </w:rPr>
        <w:t>/a，则应急储备量为：</w:t>
      </w:r>
    </w:p>
    <w:p>
      <w:pPr>
        <w:ind w:firstLine="562" w:firstLineChars="200"/>
        <w:rPr>
          <w:rFonts w:ascii="Times New Roman" w:hAnsi="Times New Roman" w:cs="Times New Roman"/>
          <w:b/>
          <w:bCs/>
          <w:color w:val="0000FF"/>
          <w:sz w:val="28"/>
          <w:szCs w:val="28"/>
          <w:highlight w:val="none"/>
        </w:rPr>
      </w:pPr>
      <w:r>
        <w:rPr>
          <w:rFonts w:hint="eastAsia" w:ascii="Times New Roman" w:hAnsi="Times New Roman" w:cs="Times New Roman"/>
          <w:b/>
          <w:bCs/>
          <w:color w:val="0000FF"/>
          <w:sz w:val="28"/>
          <w:szCs w:val="28"/>
          <w:highlight w:val="none"/>
          <w:lang w:val="en-US" w:eastAsia="zh-CN"/>
        </w:rPr>
        <w:t>14029.73</w:t>
      </w:r>
      <w:r>
        <w:rPr>
          <w:rFonts w:ascii="Times New Roman" w:hAnsi="Times New Roman" w:cs="Times New Roman"/>
          <w:b/>
          <w:bCs/>
          <w:color w:val="0000FF"/>
          <w:sz w:val="28"/>
          <w:szCs w:val="28"/>
          <w:highlight w:val="none"/>
        </w:rPr>
        <w:t>×10</w:t>
      </w:r>
      <w:r>
        <w:rPr>
          <w:rFonts w:hint="eastAsia" w:ascii="Times New Roman" w:hAnsi="Times New Roman" w:cs="Times New Roman"/>
          <w:b/>
          <w:bCs/>
          <w:color w:val="0000FF"/>
          <w:sz w:val="28"/>
          <w:szCs w:val="28"/>
          <w:highlight w:val="none"/>
          <w:vertAlign w:val="superscript"/>
        </w:rPr>
        <w:t>4</w:t>
      </w:r>
      <w:r>
        <w:rPr>
          <w:rFonts w:ascii="Times New Roman" w:hAnsi="Times New Roman" w:cs="Times New Roman"/>
          <w:b/>
          <w:bCs/>
          <w:color w:val="0000FF"/>
          <w:sz w:val="28"/>
          <w:szCs w:val="28"/>
          <w:highlight w:val="none"/>
        </w:rPr>
        <w:t>×5%=</w:t>
      </w:r>
      <w:r>
        <w:rPr>
          <w:rFonts w:hint="eastAsia" w:ascii="Times New Roman" w:hAnsi="Times New Roman" w:cs="Times New Roman"/>
          <w:b/>
          <w:bCs/>
          <w:color w:val="0000FF"/>
          <w:sz w:val="28"/>
          <w:szCs w:val="28"/>
          <w:highlight w:val="none"/>
          <w:lang w:val="en-US" w:eastAsia="zh-CN"/>
        </w:rPr>
        <w:t>601.49</w:t>
      </w:r>
      <w:r>
        <w:rPr>
          <w:rFonts w:ascii="Times New Roman" w:hAnsi="Times New Roman" w:cs="Times New Roman"/>
          <w:b/>
          <w:bCs/>
          <w:color w:val="0000FF"/>
          <w:sz w:val="28"/>
          <w:szCs w:val="28"/>
          <w:highlight w:val="none"/>
        </w:rPr>
        <w:t>×10</w:t>
      </w:r>
      <w:r>
        <w:rPr>
          <w:rFonts w:ascii="Times New Roman" w:hAnsi="Times New Roman" w:cs="Times New Roman"/>
          <w:b/>
          <w:bCs/>
          <w:color w:val="0000FF"/>
          <w:sz w:val="28"/>
          <w:szCs w:val="28"/>
          <w:highlight w:val="none"/>
          <w:vertAlign w:val="superscript"/>
        </w:rPr>
        <w:t>4</w:t>
      </w:r>
      <w:r>
        <w:rPr>
          <w:rFonts w:ascii="Times New Roman" w:hAnsi="Times New Roman" w:cs="Times New Roman"/>
          <w:b/>
          <w:bCs/>
          <w:color w:val="0000FF"/>
          <w:sz w:val="28"/>
          <w:szCs w:val="28"/>
          <w:highlight w:val="none"/>
        </w:rPr>
        <w:t>Nm</w:t>
      </w:r>
      <w:r>
        <w:rPr>
          <w:rFonts w:ascii="Times New Roman" w:hAnsi="Times New Roman" w:cs="Times New Roman"/>
          <w:b/>
          <w:bCs/>
          <w:color w:val="0000FF"/>
          <w:sz w:val="28"/>
          <w:szCs w:val="28"/>
          <w:highlight w:val="none"/>
          <w:vertAlign w:val="superscript"/>
        </w:rPr>
        <w:t>3</w:t>
      </w:r>
    </w:p>
    <w:p>
      <w:pPr>
        <w:spacing w:line="360" w:lineRule="auto"/>
        <w:ind w:firstLine="560" w:firstLineChars="200"/>
        <w:rPr>
          <w:rFonts w:hint="eastAsia" w:ascii="Times New Roman" w:hAnsi="Times New Roman" w:eastAsia="宋体" w:cs="Times New Roman"/>
          <w:b/>
          <w:bCs/>
          <w:color w:val="auto"/>
          <w:sz w:val="28"/>
          <w:szCs w:val="28"/>
          <w:highlight w:val="none"/>
          <w:lang w:val="en-US" w:eastAsia="zh-CN"/>
        </w:rPr>
      </w:pPr>
      <w:r>
        <w:rPr>
          <w:rFonts w:ascii="Times New Roman" w:hAnsi="Times New Roman" w:cs="Times New Roman"/>
          <w:color w:val="0000FF"/>
          <w:sz w:val="28"/>
          <w:szCs w:val="28"/>
          <w:highlight w:val="none"/>
        </w:rPr>
        <w:t>通过以上计算，政府及城镇燃气企业应急储备设施储备需求量为</w:t>
      </w:r>
      <w:r>
        <w:rPr>
          <w:rFonts w:hint="eastAsia" w:ascii="Times New Roman" w:hAnsi="Times New Roman" w:cs="Times New Roman"/>
          <w:b/>
          <w:bCs/>
          <w:color w:val="0000FF"/>
          <w:sz w:val="28"/>
          <w:szCs w:val="28"/>
          <w:highlight w:val="none"/>
          <w:lang w:val="en-US" w:eastAsia="zh-CN"/>
        </w:rPr>
        <w:t>796.34</w:t>
      </w:r>
      <w:r>
        <w:rPr>
          <w:rFonts w:ascii="Times New Roman" w:hAnsi="Times New Roman" w:cs="Times New Roman"/>
          <w:b/>
          <w:bCs/>
          <w:color w:val="0000FF"/>
          <w:sz w:val="28"/>
          <w:szCs w:val="28"/>
          <w:highlight w:val="none"/>
        </w:rPr>
        <w:t>×10</w:t>
      </w:r>
      <w:r>
        <w:rPr>
          <w:rFonts w:ascii="Times New Roman" w:hAnsi="Times New Roman" w:cs="Times New Roman"/>
          <w:b/>
          <w:bCs/>
          <w:color w:val="0000FF"/>
          <w:sz w:val="28"/>
          <w:szCs w:val="28"/>
          <w:highlight w:val="none"/>
          <w:vertAlign w:val="superscript"/>
        </w:rPr>
        <w:t>4</w:t>
      </w:r>
      <w:r>
        <w:rPr>
          <w:rFonts w:ascii="Times New Roman" w:hAnsi="Times New Roman" w:cs="Times New Roman"/>
          <w:b/>
          <w:bCs/>
          <w:color w:val="0000FF"/>
          <w:sz w:val="28"/>
          <w:szCs w:val="28"/>
          <w:highlight w:val="none"/>
        </w:rPr>
        <w:t>Nm</w:t>
      </w:r>
      <w:r>
        <w:rPr>
          <w:rFonts w:ascii="Times New Roman" w:hAnsi="Times New Roman" w:cs="Times New Roman"/>
          <w:b/>
          <w:bCs/>
          <w:color w:val="0000FF"/>
          <w:sz w:val="28"/>
          <w:szCs w:val="28"/>
          <w:highlight w:val="none"/>
          <w:vertAlign w:val="superscript"/>
        </w:rPr>
        <w:t>3</w:t>
      </w:r>
      <w:r>
        <w:rPr>
          <w:rFonts w:ascii="Times New Roman" w:hAnsi="Times New Roman" w:cs="Times New Roman"/>
          <w:color w:val="0000FF"/>
          <w:sz w:val="28"/>
          <w:szCs w:val="28"/>
          <w:highlight w:val="none"/>
        </w:rPr>
        <w:t>。其中地方政府储量需求为：</w:t>
      </w:r>
      <w:r>
        <w:rPr>
          <w:rFonts w:hint="eastAsia" w:ascii="Times New Roman" w:hAnsi="Times New Roman" w:cs="Times New Roman"/>
          <w:b/>
          <w:bCs/>
          <w:color w:val="0000FF"/>
          <w:sz w:val="28"/>
          <w:szCs w:val="28"/>
          <w:highlight w:val="none"/>
          <w:lang w:val="en-US" w:eastAsia="zh-CN"/>
        </w:rPr>
        <w:t>194.85</w:t>
      </w:r>
      <w:r>
        <w:rPr>
          <w:rFonts w:ascii="Times New Roman" w:hAnsi="Times New Roman" w:cs="Times New Roman"/>
          <w:b/>
          <w:bCs/>
          <w:color w:val="0000FF"/>
          <w:sz w:val="28"/>
          <w:szCs w:val="28"/>
          <w:highlight w:val="none"/>
        </w:rPr>
        <w:t>×</w:t>
      </w:r>
      <w:r>
        <w:rPr>
          <w:rFonts w:ascii="Times New Roman" w:hAnsi="Times New Roman" w:cs="Times New Roman"/>
          <w:b/>
          <w:color w:val="0000FF"/>
          <w:sz w:val="28"/>
          <w:szCs w:val="28"/>
          <w:highlight w:val="none"/>
        </w:rPr>
        <w:t>10</w:t>
      </w:r>
      <w:r>
        <w:rPr>
          <w:rFonts w:ascii="Times New Roman" w:hAnsi="Times New Roman" w:cs="Times New Roman"/>
          <w:b/>
          <w:color w:val="0000FF"/>
          <w:sz w:val="28"/>
          <w:szCs w:val="28"/>
          <w:highlight w:val="none"/>
          <w:vertAlign w:val="superscript"/>
        </w:rPr>
        <w:t>4</w:t>
      </w:r>
      <w:r>
        <w:rPr>
          <w:rFonts w:ascii="Times New Roman" w:hAnsi="Times New Roman" w:cs="Times New Roman"/>
          <w:b/>
          <w:color w:val="0000FF"/>
          <w:sz w:val="28"/>
          <w:szCs w:val="28"/>
          <w:highlight w:val="none"/>
        </w:rPr>
        <w:t>Nm</w:t>
      </w:r>
      <w:r>
        <w:rPr>
          <w:rFonts w:ascii="Times New Roman" w:hAnsi="Times New Roman" w:cs="Times New Roman"/>
          <w:b/>
          <w:color w:val="0000FF"/>
          <w:sz w:val="28"/>
          <w:szCs w:val="28"/>
          <w:highlight w:val="none"/>
          <w:vertAlign w:val="superscript"/>
        </w:rPr>
        <w:t>3</w:t>
      </w:r>
      <w:r>
        <w:rPr>
          <w:rFonts w:ascii="Times New Roman" w:hAnsi="Times New Roman" w:cs="Times New Roman"/>
          <w:b/>
          <w:color w:val="0000FF"/>
          <w:sz w:val="28"/>
          <w:szCs w:val="28"/>
          <w:highlight w:val="none"/>
        </w:rPr>
        <w:t xml:space="preserve">（折合LNG </w:t>
      </w:r>
      <w:r>
        <w:rPr>
          <w:rFonts w:hint="eastAsia" w:ascii="Times New Roman" w:hAnsi="Times New Roman" w:cs="Times New Roman"/>
          <w:b/>
          <w:color w:val="0000FF"/>
          <w:sz w:val="28"/>
          <w:szCs w:val="28"/>
          <w:highlight w:val="none"/>
        </w:rPr>
        <w:t>0.</w:t>
      </w:r>
      <w:r>
        <w:rPr>
          <w:rFonts w:hint="eastAsia" w:ascii="Times New Roman" w:hAnsi="Times New Roman" w:cs="Times New Roman"/>
          <w:b/>
          <w:color w:val="0000FF"/>
          <w:sz w:val="28"/>
          <w:szCs w:val="28"/>
          <w:highlight w:val="none"/>
          <w:lang w:val="en-US" w:eastAsia="zh-CN"/>
        </w:rPr>
        <w:t>312</w:t>
      </w:r>
      <w:r>
        <w:rPr>
          <w:rFonts w:ascii="Times New Roman" w:hAnsi="Times New Roman" w:cs="Times New Roman"/>
          <w:b/>
          <w:color w:val="0000FF"/>
          <w:sz w:val="28"/>
          <w:szCs w:val="28"/>
          <w:highlight w:val="none"/>
        </w:rPr>
        <w:t>×10</w:t>
      </w:r>
      <w:r>
        <w:rPr>
          <w:rFonts w:ascii="Times New Roman" w:hAnsi="Times New Roman" w:cs="Times New Roman"/>
          <w:b/>
          <w:color w:val="0000FF"/>
          <w:sz w:val="28"/>
          <w:szCs w:val="28"/>
          <w:highlight w:val="none"/>
          <w:vertAlign w:val="superscript"/>
        </w:rPr>
        <w:t>4</w:t>
      </w:r>
      <w:r>
        <w:rPr>
          <w:rFonts w:ascii="Times New Roman" w:hAnsi="Times New Roman" w:cs="Times New Roman"/>
          <w:b/>
          <w:color w:val="0000FF"/>
          <w:sz w:val="28"/>
          <w:szCs w:val="28"/>
          <w:highlight w:val="none"/>
        </w:rPr>
        <w:t>m</w:t>
      </w:r>
      <w:r>
        <w:rPr>
          <w:rFonts w:ascii="Times New Roman" w:hAnsi="Times New Roman" w:cs="Times New Roman"/>
          <w:b/>
          <w:color w:val="0000FF"/>
          <w:sz w:val="28"/>
          <w:szCs w:val="28"/>
          <w:highlight w:val="none"/>
          <w:vertAlign w:val="superscript"/>
        </w:rPr>
        <w:t>3</w:t>
      </w:r>
      <w:r>
        <w:rPr>
          <w:rFonts w:ascii="Times New Roman" w:hAnsi="Times New Roman" w:cs="Times New Roman"/>
          <w:b/>
          <w:color w:val="0000FF"/>
          <w:sz w:val="28"/>
          <w:szCs w:val="28"/>
          <w:highlight w:val="none"/>
        </w:rPr>
        <w:t>）</w:t>
      </w:r>
      <w:r>
        <w:rPr>
          <w:rFonts w:ascii="Times New Roman" w:hAnsi="Times New Roman" w:cs="Times New Roman"/>
          <w:color w:val="0000FF"/>
          <w:sz w:val="28"/>
          <w:szCs w:val="28"/>
          <w:highlight w:val="none"/>
        </w:rPr>
        <w:t>，企业储量需求为：</w:t>
      </w:r>
      <w:r>
        <w:rPr>
          <w:rFonts w:hint="eastAsia" w:ascii="Times New Roman" w:hAnsi="Times New Roman" w:cs="Times New Roman"/>
          <w:b/>
          <w:bCs/>
          <w:color w:val="0000FF"/>
          <w:sz w:val="28"/>
          <w:szCs w:val="28"/>
          <w:highlight w:val="none"/>
          <w:lang w:val="en-US" w:eastAsia="zh-CN"/>
        </w:rPr>
        <w:t>601.49</w:t>
      </w:r>
      <w:r>
        <w:rPr>
          <w:rFonts w:ascii="Times New Roman" w:hAnsi="Times New Roman" w:cs="Times New Roman"/>
          <w:b/>
          <w:color w:val="0000FF"/>
          <w:sz w:val="28"/>
          <w:szCs w:val="28"/>
          <w:highlight w:val="none"/>
        </w:rPr>
        <w:t>×10</w:t>
      </w:r>
      <w:r>
        <w:rPr>
          <w:rFonts w:ascii="Times New Roman" w:hAnsi="Times New Roman" w:cs="Times New Roman"/>
          <w:b/>
          <w:color w:val="0000FF"/>
          <w:sz w:val="28"/>
          <w:szCs w:val="28"/>
          <w:highlight w:val="none"/>
          <w:vertAlign w:val="superscript"/>
        </w:rPr>
        <w:t>4</w:t>
      </w:r>
      <w:r>
        <w:rPr>
          <w:rFonts w:ascii="Times New Roman" w:hAnsi="Times New Roman" w:cs="Times New Roman"/>
          <w:b/>
          <w:color w:val="0000FF"/>
          <w:sz w:val="28"/>
          <w:szCs w:val="28"/>
          <w:highlight w:val="none"/>
        </w:rPr>
        <w:t>Nm</w:t>
      </w:r>
      <w:r>
        <w:rPr>
          <w:rFonts w:ascii="Times New Roman" w:hAnsi="Times New Roman" w:cs="Times New Roman"/>
          <w:b/>
          <w:color w:val="0000FF"/>
          <w:sz w:val="28"/>
          <w:szCs w:val="28"/>
          <w:highlight w:val="none"/>
          <w:vertAlign w:val="superscript"/>
        </w:rPr>
        <w:t>3</w:t>
      </w:r>
      <w:r>
        <w:rPr>
          <w:rFonts w:ascii="Times New Roman" w:hAnsi="Times New Roman" w:cs="Times New Roman"/>
          <w:b/>
          <w:color w:val="0000FF"/>
          <w:sz w:val="28"/>
          <w:szCs w:val="28"/>
          <w:highlight w:val="none"/>
        </w:rPr>
        <w:t>（折合LNG</w:t>
      </w:r>
      <w:r>
        <w:rPr>
          <w:rFonts w:hint="eastAsia" w:ascii="Times New Roman" w:hAnsi="Times New Roman" w:cs="Times New Roman"/>
          <w:b/>
          <w:color w:val="0000FF"/>
          <w:sz w:val="28"/>
          <w:szCs w:val="28"/>
          <w:highlight w:val="none"/>
          <w:lang w:val="en-US" w:eastAsia="zh-CN"/>
        </w:rPr>
        <w:t xml:space="preserve"> 0.963</w:t>
      </w:r>
      <w:r>
        <w:rPr>
          <w:rFonts w:ascii="Times New Roman" w:hAnsi="Times New Roman" w:cs="Times New Roman"/>
          <w:b/>
          <w:color w:val="0000FF"/>
          <w:sz w:val="28"/>
          <w:szCs w:val="28"/>
          <w:highlight w:val="none"/>
        </w:rPr>
        <w:t>×10</w:t>
      </w:r>
      <w:r>
        <w:rPr>
          <w:rFonts w:ascii="Times New Roman" w:hAnsi="Times New Roman" w:cs="Times New Roman"/>
          <w:b/>
          <w:color w:val="0000FF"/>
          <w:sz w:val="28"/>
          <w:szCs w:val="28"/>
          <w:highlight w:val="none"/>
          <w:vertAlign w:val="superscript"/>
        </w:rPr>
        <w:t>4</w:t>
      </w:r>
      <w:r>
        <w:rPr>
          <w:rFonts w:ascii="Times New Roman" w:hAnsi="Times New Roman" w:cs="Times New Roman"/>
          <w:b/>
          <w:color w:val="0000FF"/>
          <w:sz w:val="28"/>
          <w:szCs w:val="28"/>
          <w:highlight w:val="none"/>
        </w:rPr>
        <w:t>m</w:t>
      </w:r>
      <w:r>
        <w:rPr>
          <w:rFonts w:ascii="Times New Roman" w:hAnsi="Times New Roman" w:cs="Times New Roman"/>
          <w:b/>
          <w:color w:val="0000FF"/>
          <w:sz w:val="28"/>
          <w:szCs w:val="28"/>
          <w:highlight w:val="none"/>
          <w:vertAlign w:val="superscript"/>
        </w:rPr>
        <w:t>3</w:t>
      </w:r>
      <w:r>
        <w:rPr>
          <w:rFonts w:ascii="Times New Roman" w:hAnsi="Times New Roman" w:cs="Times New Roman"/>
          <w:b/>
          <w:color w:val="0000FF"/>
          <w:sz w:val="28"/>
          <w:szCs w:val="28"/>
          <w:highlight w:val="none"/>
        </w:rPr>
        <w:t>）</w:t>
      </w:r>
      <w:r>
        <w:rPr>
          <w:rFonts w:hint="eastAsia" w:ascii="Times New Roman" w:hAnsi="Times New Roman" w:cs="Times New Roman"/>
          <w:b/>
          <w:color w:val="0000FF"/>
          <w:sz w:val="28"/>
          <w:szCs w:val="28"/>
          <w:highlight w:val="none"/>
          <w:lang w:eastAsia="zh-CN"/>
        </w:rPr>
        <w:t>。</w:t>
      </w:r>
    </w:p>
    <w:p>
      <w:pPr>
        <w:spacing w:line="360" w:lineRule="auto"/>
        <w:ind w:firstLine="562" w:firstLineChars="200"/>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lang w:val="en-US" w:eastAsia="zh-CN"/>
        </w:rPr>
        <w:t>3</w:t>
      </w:r>
      <w:r>
        <w:rPr>
          <w:rFonts w:ascii="Times New Roman" w:hAnsi="Times New Roman" w:eastAsia="宋体" w:cs="Times New Roman"/>
          <w:b/>
          <w:bCs/>
          <w:color w:val="auto"/>
          <w:sz w:val="28"/>
          <w:szCs w:val="28"/>
          <w:highlight w:val="none"/>
        </w:rPr>
        <w:t>、</w:t>
      </w:r>
      <w:r>
        <w:rPr>
          <w:rFonts w:hint="eastAsia" w:ascii="Times New Roman" w:hAnsi="Times New Roman" w:eastAsia="宋体" w:cs="Times New Roman"/>
          <w:b/>
          <w:bCs/>
          <w:color w:val="auto"/>
          <w:sz w:val="28"/>
          <w:szCs w:val="28"/>
          <w:highlight w:val="none"/>
          <w:lang w:val="en-US" w:eastAsia="zh-CN"/>
        </w:rPr>
        <w:t>远期规划</w:t>
      </w:r>
      <w:r>
        <w:rPr>
          <w:rFonts w:ascii="Times New Roman" w:hAnsi="Times New Roman" w:eastAsia="宋体" w:cs="Times New Roman"/>
          <w:b/>
          <w:bCs/>
          <w:color w:val="auto"/>
          <w:sz w:val="28"/>
          <w:szCs w:val="28"/>
          <w:highlight w:val="none"/>
        </w:rPr>
        <w:t>期末（20</w:t>
      </w:r>
      <w:r>
        <w:rPr>
          <w:rFonts w:hint="eastAsia" w:ascii="Times New Roman" w:hAnsi="Times New Roman" w:eastAsia="宋体" w:cs="Times New Roman"/>
          <w:b/>
          <w:bCs/>
          <w:color w:val="auto"/>
          <w:sz w:val="28"/>
          <w:szCs w:val="28"/>
          <w:highlight w:val="none"/>
          <w:lang w:val="en-US" w:eastAsia="zh-CN"/>
        </w:rPr>
        <w:t>35</w:t>
      </w:r>
      <w:r>
        <w:rPr>
          <w:rFonts w:ascii="Times New Roman" w:hAnsi="Times New Roman" w:eastAsia="宋体" w:cs="Times New Roman"/>
          <w:b/>
          <w:bCs/>
          <w:color w:val="auto"/>
          <w:sz w:val="28"/>
          <w:szCs w:val="28"/>
          <w:highlight w:val="none"/>
        </w:rPr>
        <w:t>年）</w:t>
      </w:r>
    </w:p>
    <w:p>
      <w:pPr>
        <w:ind w:firstLine="560" w:firstLineChars="20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（1）根据《城镇燃气规划规范》计算</w:t>
      </w:r>
    </w:p>
    <w:p>
      <w:pPr>
        <w:ind w:firstLine="560" w:firstLineChars="20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根据《城镇燃气规划规范》GB/T 51098-2015之7.2.2节规定，</w:t>
      </w:r>
      <w:r>
        <w:rPr>
          <w:rFonts w:hint="eastAsia" w:ascii="宋体" w:hAnsi="宋体" w:eastAsia="宋体" w:cs="宋体"/>
          <w:color w:val="auto"/>
          <w:sz w:val="28"/>
          <w:szCs w:val="28"/>
          <w:highlight w:val="none"/>
        </w:rPr>
        <w:t>“城镇燃气应急储备设施的储备量应按</w:t>
      </w:r>
      <w:r>
        <w:rPr>
          <w:rFonts w:hint="default" w:ascii="Times New Roman" w:hAnsi="Times New Roman" w:eastAsia="宋体" w:cs="Times New Roman"/>
          <w:color w:val="0000FF"/>
          <w:sz w:val="28"/>
          <w:szCs w:val="28"/>
          <w:highlight w:val="none"/>
          <w:lang w:val="en-US" w:eastAsia="zh-CN"/>
        </w:rPr>
        <w:t>5</w:t>
      </w:r>
      <w:r>
        <w:rPr>
          <w:rFonts w:hint="default" w:ascii="Times New Roman" w:hAnsi="Times New Roman" w:eastAsia="宋体" w:cs="Times New Roman"/>
          <w:color w:val="0000FF"/>
          <w:sz w:val="28"/>
          <w:szCs w:val="28"/>
          <w:highlight w:val="none"/>
        </w:rPr>
        <w:t>d</w:t>
      </w:r>
      <w:r>
        <w:rPr>
          <w:rFonts w:hint="eastAsia" w:ascii="宋体" w:hAnsi="宋体" w:eastAsia="宋体" w:cs="宋体"/>
          <w:color w:val="auto"/>
          <w:sz w:val="28"/>
          <w:szCs w:val="28"/>
          <w:highlight w:val="none"/>
        </w:rPr>
        <w:t>城镇不可中断用气的年均日用气量计算”</w:t>
      </w:r>
      <w:r>
        <w:rPr>
          <w:rFonts w:ascii="Times New Roman" w:hAnsi="Times New Roman" w:cs="Times New Roman"/>
          <w:color w:val="auto"/>
          <w:sz w:val="28"/>
          <w:szCs w:val="28"/>
          <w:highlight w:val="none"/>
        </w:rPr>
        <w:t>。</w:t>
      </w:r>
    </w:p>
    <w:p>
      <w:pPr>
        <w:ind w:firstLine="560" w:firstLineChars="200"/>
        <w:rPr>
          <w:rFonts w:ascii="Times New Roman" w:hAnsi="Times New Roman" w:cs="Times New Roman"/>
          <w:color w:val="0000FF"/>
          <w:sz w:val="28"/>
          <w:szCs w:val="28"/>
          <w:highlight w:val="none"/>
        </w:rPr>
      </w:pPr>
      <w:r>
        <w:rPr>
          <w:rFonts w:ascii="Times New Roman" w:hAnsi="Times New Roman" w:cs="Times New Roman"/>
          <w:color w:val="0000FF"/>
          <w:sz w:val="28"/>
          <w:szCs w:val="28"/>
          <w:highlight w:val="none"/>
        </w:rPr>
        <w:t>远期规划期末（203</w:t>
      </w:r>
      <w:r>
        <w:rPr>
          <w:rFonts w:hint="eastAsia" w:ascii="Times New Roman" w:hAnsi="Times New Roman" w:cs="Times New Roman"/>
          <w:color w:val="0000FF"/>
          <w:sz w:val="28"/>
          <w:szCs w:val="28"/>
          <w:highlight w:val="none"/>
          <w:lang w:val="en-US" w:eastAsia="zh-CN"/>
        </w:rPr>
        <w:t>5</w:t>
      </w:r>
      <w:r>
        <w:rPr>
          <w:rFonts w:ascii="Times New Roman" w:hAnsi="Times New Roman" w:cs="Times New Roman"/>
          <w:color w:val="0000FF"/>
          <w:sz w:val="28"/>
          <w:szCs w:val="28"/>
          <w:highlight w:val="none"/>
        </w:rPr>
        <w:t>年）</w:t>
      </w:r>
      <w:r>
        <w:rPr>
          <w:rFonts w:hint="eastAsia" w:ascii="Times New Roman" w:hAnsi="Times New Roman" w:eastAsia="宋体" w:cs="Times New Roman"/>
          <w:color w:val="0000FF"/>
          <w:sz w:val="28"/>
          <w:szCs w:val="28"/>
          <w:highlight w:val="none"/>
          <w:lang w:val="en-US" w:eastAsia="zh-CN"/>
        </w:rPr>
        <w:t>工业</w:t>
      </w:r>
      <w:r>
        <w:rPr>
          <w:rFonts w:ascii="Times New Roman" w:hAnsi="Times New Roman" w:cs="Times New Roman"/>
          <w:color w:val="0000FF"/>
          <w:sz w:val="28"/>
          <w:szCs w:val="28"/>
          <w:highlight w:val="none"/>
        </w:rPr>
        <w:t>用户平均日用气量为</w:t>
      </w:r>
      <w:r>
        <w:rPr>
          <w:rFonts w:hint="eastAsia" w:ascii="Times New Roman" w:hAnsi="Times New Roman" w:cs="Times New Roman"/>
          <w:color w:val="0000FF"/>
          <w:sz w:val="28"/>
          <w:szCs w:val="28"/>
          <w:highlight w:val="none"/>
          <w:lang w:val="en-US" w:eastAsia="zh-CN"/>
        </w:rPr>
        <w:t>46.77</w:t>
      </w:r>
      <w:r>
        <w:rPr>
          <w:rFonts w:ascii="Times New Roman" w:hAnsi="Times New Roman" w:cs="Times New Roman"/>
          <w:color w:val="0000FF"/>
          <w:sz w:val="28"/>
          <w:szCs w:val="28"/>
          <w:highlight w:val="none"/>
        </w:rPr>
        <w:t>×10</w:t>
      </w:r>
      <w:r>
        <w:rPr>
          <w:rFonts w:ascii="Times New Roman" w:hAnsi="Times New Roman" w:cs="Times New Roman"/>
          <w:color w:val="0000FF"/>
          <w:sz w:val="28"/>
          <w:szCs w:val="28"/>
          <w:highlight w:val="none"/>
          <w:vertAlign w:val="superscript"/>
        </w:rPr>
        <w:t>4</w:t>
      </w:r>
      <w:r>
        <w:rPr>
          <w:rFonts w:ascii="Times New Roman" w:hAnsi="Times New Roman" w:cs="Times New Roman"/>
          <w:color w:val="0000FF"/>
          <w:sz w:val="28"/>
          <w:szCs w:val="28"/>
          <w:highlight w:val="none"/>
        </w:rPr>
        <w:t>Nm</w:t>
      </w:r>
      <w:r>
        <w:rPr>
          <w:rFonts w:ascii="Times New Roman" w:hAnsi="Times New Roman" w:cs="Times New Roman"/>
          <w:color w:val="0000FF"/>
          <w:sz w:val="28"/>
          <w:szCs w:val="28"/>
          <w:highlight w:val="none"/>
          <w:vertAlign w:val="superscript"/>
        </w:rPr>
        <w:t>3</w:t>
      </w:r>
      <w:r>
        <w:rPr>
          <w:rFonts w:ascii="Times New Roman" w:hAnsi="Times New Roman" w:cs="Times New Roman"/>
          <w:color w:val="0000FF"/>
          <w:sz w:val="28"/>
          <w:szCs w:val="28"/>
          <w:highlight w:val="none"/>
        </w:rPr>
        <w:t>/d，则应急储备量为：</w:t>
      </w:r>
    </w:p>
    <w:p>
      <w:pPr>
        <w:ind w:firstLine="562" w:firstLineChars="200"/>
        <w:rPr>
          <w:rFonts w:ascii="Times New Roman" w:hAnsi="Times New Roman" w:cs="Times New Roman"/>
          <w:b/>
          <w:bCs/>
          <w:color w:val="0000FF"/>
          <w:sz w:val="28"/>
          <w:szCs w:val="28"/>
          <w:highlight w:val="none"/>
        </w:rPr>
      </w:pPr>
      <w:r>
        <w:rPr>
          <w:rFonts w:hint="eastAsia" w:ascii="Times New Roman" w:hAnsi="Times New Roman" w:cs="Times New Roman"/>
          <w:b/>
          <w:bCs/>
          <w:color w:val="0000FF"/>
          <w:sz w:val="28"/>
          <w:szCs w:val="28"/>
          <w:highlight w:val="none"/>
          <w:lang w:val="en-US" w:eastAsia="zh-CN"/>
        </w:rPr>
        <w:t>5</w:t>
      </w:r>
      <w:r>
        <w:rPr>
          <w:rFonts w:ascii="Times New Roman" w:hAnsi="Times New Roman" w:cs="Times New Roman"/>
          <w:b/>
          <w:bCs/>
          <w:color w:val="0000FF"/>
          <w:sz w:val="28"/>
          <w:szCs w:val="28"/>
          <w:highlight w:val="none"/>
        </w:rPr>
        <w:t>×</w:t>
      </w:r>
      <w:r>
        <w:rPr>
          <w:rFonts w:hint="eastAsia" w:ascii="Times New Roman" w:hAnsi="Times New Roman" w:cs="Times New Roman"/>
          <w:b/>
          <w:bCs/>
          <w:color w:val="0000FF"/>
          <w:sz w:val="28"/>
          <w:szCs w:val="28"/>
          <w:highlight w:val="none"/>
          <w:lang w:val="en-US" w:eastAsia="zh-CN"/>
        </w:rPr>
        <w:t>46.77</w:t>
      </w:r>
      <w:r>
        <w:rPr>
          <w:rFonts w:ascii="Times New Roman" w:hAnsi="Times New Roman" w:cs="Times New Roman"/>
          <w:b/>
          <w:bCs/>
          <w:color w:val="0000FF"/>
          <w:sz w:val="28"/>
          <w:szCs w:val="28"/>
          <w:highlight w:val="none"/>
        </w:rPr>
        <w:t>×10</w:t>
      </w:r>
      <w:r>
        <w:rPr>
          <w:rFonts w:ascii="Times New Roman" w:hAnsi="Times New Roman" w:cs="Times New Roman"/>
          <w:b/>
          <w:bCs/>
          <w:color w:val="0000FF"/>
          <w:sz w:val="28"/>
          <w:szCs w:val="28"/>
          <w:highlight w:val="none"/>
          <w:vertAlign w:val="superscript"/>
        </w:rPr>
        <w:t>4</w:t>
      </w:r>
      <w:r>
        <w:rPr>
          <w:rFonts w:ascii="Times New Roman" w:hAnsi="Times New Roman" w:cs="Times New Roman"/>
          <w:b/>
          <w:bCs/>
          <w:color w:val="0000FF"/>
          <w:sz w:val="28"/>
          <w:szCs w:val="28"/>
          <w:highlight w:val="none"/>
        </w:rPr>
        <w:t>=</w:t>
      </w:r>
      <w:r>
        <w:rPr>
          <w:rFonts w:hint="eastAsia" w:ascii="Times New Roman" w:hAnsi="Times New Roman" w:cs="Times New Roman"/>
          <w:b/>
          <w:bCs/>
          <w:color w:val="0000FF"/>
          <w:sz w:val="28"/>
          <w:szCs w:val="28"/>
          <w:highlight w:val="none"/>
          <w:lang w:val="en-US" w:eastAsia="zh-CN"/>
        </w:rPr>
        <w:t>233.85</w:t>
      </w:r>
      <w:r>
        <w:rPr>
          <w:rFonts w:ascii="Times New Roman" w:hAnsi="Times New Roman" w:cs="Times New Roman"/>
          <w:b/>
          <w:bCs/>
          <w:color w:val="0000FF"/>
          <w:sz w:val="28"/>
          <w:szCs w:val="28"/>
          <w:highlight w:val="none"/>
        </w:rPr>
        <w:t>×10</w:t>
      </w:r>
      <w:r>
        <w:rPr>
          <w:rFonts w:ascii="Times New Roman" w:hAnsi="Times New Roman" w:cs="Times New Roman"/>
          <w:b/>
          <w:bCs/>
          <w:color w:val="0000FF"/>
          <w:sz w:val="28"/>
          <w:szCs w:val="28"/>
          <w:highlight w:val="none"/>
          <w:vertAlign w:val="superscript"/>
        </w:rPr>
        <w:t>4</w:t>
      </w:r>
      <w:r>
        <w:rPr>
          <w:rFonts w:ascii="Times New Roman" w:hAnsi="Times New Roman" w:cs="Times New Roman"/>
          <w:b/>
          <w:bCs/>
          <w:color w:val="0000FF"/>
          <w:sz w:val="28"/>
          <w:szCs w:val="28"/>
          <w:highlight w:val="none"/>
        </w:rPr>
        <w:t>Nm</w:t>
      </w:r>
      <w:r>
        <w:rPr>
          <w:rFonts w:ascii="Times New Roman" w:hAnsi="Times New Roman" w:cs="Times New Roman"/>
          <w:b/>
          <w:bCs/>
          <w:color w:val="0000FF"/>
          <w:sz w:val="28"/>
          <w:szCs w:val="28"/>
          <w:highlight w:val="none"/>
          <w:vertAlign w:val="superscript"/>
        </w:rPr>
        <w:t>3</w:t>
      </w:r>
    </w:p>
    <w:p>
      <w:pPr>
        <w:ind w:firstLine="560" w:firstLineChars="200"/>
        <w:rPr>
          <w:rFonts w:ascii="Times New Roman" w:hAnsi="Times New Roman" w:cs="Times New Roman"/>
          <w:color w:val="0000FF"/>
          <w:sz w:val="28"/>
          <w:szCs w:val="28"/>
          <w:highlight w:val="none"/>
          <w:vertAlign w:val="superscript"/>
        </w:rPr>
      </w:pPr>
      <w:r>
        <w:rPr>
          <w:rFonts w:ascii="Times New Roman" w:hAnsi="Times New Roman" w:cs="Times New Roman"/>
          <w:color w:val="0000FF"/>
          <w:sz w:val="28"/>
          <w:szCs w:val="28"/>
          <w:highlight w:val="none"/>
        </w:rPr>
        <w:t>通过以上计算，应急储备量若按</w:t>
      </w:r>
      <w:r>
        <w:rPr>
          <w:rFonts w:hint="eastAsia" w:ascii="Times New Roman" w:hAnsi="Times New Roman" w:cs="Times New Roman"/>
          <w:color w:val="0000FF"/>
          <w:sz w:val="28"/>
          <w:szCs w:val="28"/>
          <w:highlight w:val="none"/>
          <w:lang w:val="en-US" w:eastAsia="zh-CN"/>
        </w:rPr>
        <w:t>5</w:t>
      </w:r>
      <w:r>
        <w:rPr>
          <w:rFonts w:ascii="Times New Roman" w:hAnsi="Times New Roman" w:cs="Times New Roman"/>
          <w:color w:val="0000FF"/>
          <w:sz w:val="28"/>
          <w:szCs w:val="28"/>
          <w:highlight w:val="none"/>
        </w:rPr>
        <w:t>d不可中断用气的年均日用气量，远期规划期末（203</w:t>
      </w:r>
      <w:r>
        <w:rPr>
          <w:rFonts w:hint="eastAsia" w:ascii="Times New Roman" w:hAnsi="Times New Roman" w:cs="Times New Roman"/>
          <w:color w:val="0000FF"/>
          <w:sz w:val="28"/>
          <w:szCs w:val="28"/>
          <w:highlight w:val="none"/>
          <w:lang w:val="en-US" w:eastAsia="zh-CN"/>
        </w:rPr>
        <w:t>5</w:t>
      </w:r>
      <w:r>
        <w:rPr>
          <w:rFonts w:ascii="Times New Roman" w:hAnsi="Times New Roman" w:cs="Times New Roman"/>
          <w:color w:val="0000FF"/>
          <w:sz w:val="28"/>
          <w:szCs w:val="28"/>
          <w:highlight w:val="none"/>
        </w:rPr>
        <w:t>年）应急储备需求量为</w:t>
      </w:r>
      <w:r>
        <w:rPr>
          <w:rFonts w:hint="eastAsia" w:ascii="Times New Roman" w:hAnsi="Times New Roman" w:cs="Times New Roman"/>
          <w:b/>
          <w:color w:val="0000FF"/>
          <w:sz w:val="28"/>
          <w:szCs w:val="28"/>
          <w:highlight w:val="none"/>
          <w:lang w:val="en-US" w:eastAsia="zh-CN"/>
        </w:rPr>
        <w:t>233.85</w:t>
      </w:r>
      <w:r>
        <w:rPr>
          <w:rFonts w:ascii="Times New Roman" w:hAnsi="Times New Roman" w:cs="Times New Roman"/>
          <w:b/>
          <w:color w:val="0000FF"/>
          <w:sz w:val="28"/>
          <w:szCs w:val="28"/>
          <w:highlight w:val="none"/>
        </w:rPr>
        <w:t>×10</w:t>
      </w:r>
      <w:r>
        <w:rPr>
          <w:rFonts w:ascii="Times New Roman" w:hAnsi="Times New Roman" w:cs="Times New Roman"/>
          <w:b/>
          <w:color w:val="0000FF"/>
          <w:sz w:val="28"/>
          <w:szCs w:val="28"/>
          <w:highlight w:val="none"/>
          <w:vertAlign w:val="superscript"/>
        </w:rPr>
        <w:t>4</w:t>
      </w:r>
      <w:r>
        <w:rPr>
          <w:rFonts w:ascii="Times New Roman" w:hAnsi="Times New Roman" w:cs="Times New Roman"/>
          <w:b/>
          <w:color w:val="0000FF"/>
          <w:sz w:val="28"/>
          <w:szCs w:val="28"/>
          <w:highlight w:val="none"/>
        </w:rPr>
        <w:t>Nm</w:t>
      </w:r>
      <w:r>
        <w:rPr>
          <w:rFonts w:ascii="Times New Roman" w:hAnsi="Times New Roman" w:cs="Times New Roman"/>
          <w:b/>
          <w:color w:val="0000FF"/>
          <w:sz w:val="28"/>
          <w:szCs w:val="28"/>
          <w:highlight w:val="none"/>
          <w:vertAlign w:val="superscript"/>
        </w:rPr>
        <w:t>3</w:t>
      </w:r>
      <w:r>
        <w:rPr>
          <w:rFonts w:ascii="Times New Roman" w:hAnsi="Times New Roman" w:cs="Times New Roman"/>
          <w:b/>
          <w:color w:val="0000FF"/>
          <w:sz w:val="28"/>
          <w:szCs w:val="28"/>
          <w:highlight w:val="none"/>
        </w:rPr>
        <w:t>。</w:t>
      </w:r>
    </w:p>
    <w:p>
      <w:pPr>
        <w:ind w:firstLine="560" w:firstLineChars="20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（2）国家相关政策应急储备量</w:t>
      </w:r>
    </w:p>
    <w:p>
      <w:pPr>
        <w:ind w:firstLine="560" w:firstLineChars="20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根据2018年4月26日国家发展改革委和国家能源局发布的《关于加快储气设施建设和完善储气调峰辅助服务市场机制的意见》的通知（发改能源规</w:t>
      </w:r>
      <w:r>
        <w:rPr>
          <w:rFonts w:ascii="Times New Roman" w:hAnsi="Times New Roman" w:eastAsia="宋体" w:cs="Times New Roman"/>
          <w:color w:val="auto"/>
          <w:sz w:val="28"/>
          <w:szCs w:val="28"/>
          <w:highlight w:val="none"/>
        </w:rPr>
        <w:t>〔201</w:t>
      </w:r>
      <w:r>
        <w:rPr>
          <w:rFonts w:hint="eastAsia" w:ascii="Times New Roman" w:hAnsi="Times New Roman" w:eastAsia="宋体" w:cs="Times New Roman"/>
          <w:color w:val="auto"/>
          <w:sz w:val="28"/>
          <w:szCs w:val="28"/>
          <w:highlight w:val="none"/>
          <w:lang w:val="en-US" w:eastAsia="zh-CN"/>
        </w:rPr>
        <w:t>8</w:t>
      </w:r>
      <w:r>
        <w:rPr>
          <w:rFonts w:ascii="Times New Roman" w:hAnsi="Times New Roman" w:eastAsia="宋体" w:cs="Times New Roman"/>
          <w:color w:val="auto"/>
          <w:sz w:val="28"/>
          <w:szCs w:val="28"/>
          <w:highlight w:val="none"/>
        </w:rPr>
        <w:t>〕</w:t>
      </w:r>
      <w:r>
        <w:rPr>
          <w:rFonts w:ascii="Times New Roman" w:hAnsi="Times New Roman" w:cs="Times New Roman"/>
          <w:color w:val="auto"/>
          <w:sz w:val="28"/>
          <w:szCs w:val="28"/>
          <w:highlight w:val="none"/>
        </w:rPr>
        <w:t>637号），</w:t>
      </w:r>
      <w:r>
        <w:rPr>
          <w:rFonts w:hint="eastAsia" w:ascii="宋体" w:hAnsi="宋体" w:eastAsia="宋体" w:cs="宋体"/>
          <w:color w:val="0000FF"/>
          <w:sz w:val="28"/>
          <w:szCs w:val="28"/>
          <w:highlight w:val="none"/>
        </w:rPr>
        <w:t>“城</w:t>
      </w:r>
      <w:r>
        <w:rPr>
          <w:rFonts w:ascii="Times New Roman" w:hAnsi="Times New Roman" w:cs="Times New Roman"/>
          <w:color w:val="0000FF"/>
          <w:sz w:val="28"/>
          <w:szCs w:val="28"/>
          <w:highlight w:val="none"/>
        </w:rPr>
        <w:t>镇燃气企业要建立天然气储备，形成不低于其年用气量5%的储气能力</w:t>
      </w:r>
      <w:r>
        <w:rPr>
          <w:rFonts w:hint="eastAsia" w:ascii="宋体" w:hAnsi="宋体" w:eastAsia="宋体" w:cs="宋体"/>
          <w:color w:val="0000FF"/>
          <w:sz w:val="28"/>
          <w:szCs w:val="28"/>
          <w:highlight w:val="none"/>
        </w:rPr>
        <w:t>”。</w:t>
      </w:r>
    </w:p>
    <w:p>
      <w:pPr>
        <w:ind w:firstLine="560" w:firstLineChars="200"/>
        <w:rPr>
          <w:rFonts w:ascii="Times New Roman" w:hAnsi="Times New Roman" w:cs="Times New Roman"/>
          <w:color w:val="0000FF"/>
          <w:sz w:val="28"/>
          <w:szCs w:val="28"/>
          <w:highlight w:val="none"/>
        </w:rPr>
      </w:pPr>
      <w:r>
        <w:rPr>
          <w:rFonts w:ascii="Times New Roman" w:hAnsi="Times New Roman" w:cs="Times New Roman"/>
          <w:color w:val="0000FF"/>
          <w:sz w:val="28"/>
          <w:szCs w:val="28"/>
          <w:highlight w:val="none"/>
        </w:rPr>
        <w:t>远期规划期末（203</w:t>
      </w:r>
      <w:r>
        <w:rPr>
          <w:rFonts w:hint="eastAsia" w:ascii="Times New Roman" w:hAnsi="Times New Roman" w:cs="Times New Roman"/>
          <w:color w:val="0000FF"/>
          <w:sz w:val="28"/>
          <w:szCs w:val="28"/>
          <w:highlight w:val="none"/>
          <w:lang w:val="en-US" w:eastAsia="zh-CN"/>
        </w:rPr>
        <w:t>5</w:t>
      </w:r>
      <w:r>
        <w:rPr>
          <w:rFonts w:ascii="Times New Roman" w:hAnsi="Times New Roman" w:cs="Times New Roman"/>
          <w:color w:val="0000FF"/>
          <w:sz w:val="28"/>
          <w:szCs w:val="28"/>
          <w:highlight w:val="none"/>
        </w:rPr>
        <w:t>年）</w:t>
      </w:r>
      <w:r>
        <w:rPr>
          <w:rFonts w:hint="eastAsia" w:ascii="Times New Roman" w:hAnsi="Times New Roman" w:eastAsia="宋体" w:cs="Times New Roman"/>
          <w:color w:val="0000FF"/>
          <w:sz w:val="28"/>
          <w:szCs w:val="28"/>
          <w:highlight w:val="none"/>
          <w:lang w:val="en-US" w:eastAsia="zh-CN"/>
        </w:rPr>
        <w:t>工业</w:t>
      </w:r>
      <w:r>
        <w:rPr>
          <w:rFonts w:ascii="Times New Roman" w:hAnsi="Times New Roman" w:cs="Times New Roman"/>
          <w:color w:val="0000FF"/>
          <w:sz w:val="28"/>
          <w:szCs w:val="28"/>
          <w:highlight w:val="none"/>
        </w:rPr>
        <w:t>用户年用气量为</w:t>
      </w:r>
      <w:r>
        <w:rPr>
          <w:rFonts w:hint="eastAsia" w:ascii="Times New Roman" w:hAnsi="Times New Roman" w:cs="Times New Roman"/>
          <w:color w:val="0000FF"/>
          <w:sz w:val="28"/>
          <w:szCs w:val="28"/>
          <w:highlight w:val="none"/>
          <w:lang w:val="en-US" w:eastAsia="zh-CN"/>
        </w:rPr>
        <w:t>16835.68</w:t>
      </w:r>
      <w:r>
        <w:rPr>
          <w:rFonts w:ascii="Times New Roman" w:hAnsi="Times New Roman" w:cs="Times New Roman"/>
          <w:color w:val="0000FF"/>
          <w:sz w:val="28"/>
          <w:szCs w:val="28"/>
          <w:highlight w:val="none"/>
        </w:rPr>
        <w:t>×10</w:t>
      </w:r>
      <w:r>
        <w:rPr>
          <w:rFonts w:hint="eastAsia" w:ascii="Times New Roman" w:hAnsi="Times New Roman" w:cs="Times New Roman"/>
          <w:color w:val="0000FF"/>
          <w:sz w:val="28"/>
          <w:szCs w:val="28"/>
          <w:highlight w:val="none"/>
          <w:vertAlign w:val="superscript"/>
        </w:rPr>
        <w:t>4</w:t>
      </w:r>
      <w:r>
        <w:rPr>
          <w:rFonts w:ascii="Times New Roman" w:hAnsi="Times New Roman" w:cs="Times New Roman"/>
          <w:color w:val="0000FF"/>
          <w:sz w:val="28"/>
          <w:szCs w:val="28"/>
          <w:highlight w:val="none"/>
        </w:rPr>
        <w:t>Nm</w:t>
      </w:r>
      <w:r>
        <w:rPr>
          <w:rFonts w:ascii="Times New Roman" w:hAnsi="Times New Roman" w:cs="Times New Roman"/>
          <w:color w:val="0000FF"/>
          <w:sz w:val="28"/>
          <w:szCs w:val="28"/>
          <w:highlight w:val="none"/>
          <w:vertAlign w:val="superscript"/>
        </w:rPr>
        <w:t>3</w:t>
      </w:r>
      <w:r>
        <w:rPr>
          <w:rFonts w:ascii="Times New Roman" w:hAnsi="Times New Roman" w:cs="Times New Roman"/>
          <w:color w:val="0000FF"/>
          <w:sz w:val="28"/>
          <w:szCs w:val="28"/>
          <w:highlight w:val="none"/>
        </w:rPr>
        <w:t>/a，则应急储备量为：</w:t>
      </w:r>
    </w:p>
    <w:p>
      <w:pPr>
        <w:ind w:firstLine="562" w:firstLineChars="200"/>
        <w:rPr>
          <w:rFonts w:ascii="Times New Roman" w:hAnsi="Times New Roman" w:cs="Times New Roman"/>
          <w:b/>
          <w:bCs/>
          <w:color w:val="0000FF"/>
          <w:sz w:val="28"/>
          <w:szCs w:val="28"/>
          <w:highlight w:val="none"/>
        </w:rPr>
      </w:pPr>
      <w:r>
        <w:rPr>
          <w:rFonts w:hint="eastAsia" w:ascii="Times New Roman" w:hAnsi="Times New Roman" w:cs="Times New Roman"/>
          <w:b/>
          <w:bCs/>
          <w:color w:val="0000FF"/>
          <w:sz w:val="28"/>
          <w:szCs w:val="28"/>
          <w:highlight w:val="none"/>
          <w:lang w:val="en-US" w:eastAsia="zh-CN"/>
        </w:rPr>
        <w:t>16835.68</w:t>
      </w:r>
      <w:r>
        <w:rPr>
          <w:rFonts w:ascii="Times New Roman" w:hAnsi="Times New Roman" w:cs="Times New Roman"/>
          <w:b/>
          <w:bCs/>
          <w:color w:val="0000FF"/>
          <w:sz w:val="28"/>
          <w:szCs w:val="28"/>
          <w:highlight w:val="none"/>
        </w:rPr>
        <w:t>×10</w:t>
      </w:r>
      <w:r>
        <w:rPr>
          <w:rFonts w:hint="eastAsia" w:ascii="Times New Roman" w:hAnsi="Times New Roman" w:cs="Times New Roman"/>
          <w:b/>
          <w:bCs/>
          <w:color w:val="0000FF"/>
          <w:sz w:val="28"/>
          <w:szCs w:val="28"/>
          <w:highlight w:val="none"/>
          <w:vertAlign w:val="superscript"/>
        </w:rPr>
        <w:t>4</w:t>
      </w:r>
      <w:r>
        <w:rPr>
          <w:rFonts w:ascii="Times New Roman" w:hAnsi="Times New Roman" w:cs="Times New Roman"/>
          <w:b/>
          <w:bCs/>
          <w:color w:val="0000FF"/>
          <w:sz w:val="28"/>
          <w:szCs w:val="28"/>
          <w:highlight w:val="none"/>
        </w:rPr>
        <w:t>×5%=</w:t>
      </w:r>
      <w:r>
        <w:rPr>
          <w:rFonts w:hint="eastAsia" w:ascii="Times New Roman" w:hAnsi="Times New Roman" w:cs="Times New Roman"/>
          <w:b/>
          <w:bCs/>
          <w:color w:val="0000FF"/>
          <w:sz w:val="28"/>
          <w:szCs w:val="28"/>
          <w:highlight w:val="none"/>
          <w:lang w:val="en-US" w:eastAsia="zh-CN"/>
        </w:rPr>
        <w:t>841.78</w:t>
      </w:r>
      <w:r>
        <w:rPr>
          <w:rFonts w:ascii="Times New Roman" w:hAnsi="Times New Roman" w:cs="Times New Roman"/>
          <w:b/>
          <w:bCs/>
          <w:color w:val="0000FF"/>
          <w:sz w:val="28"/>
          <w:szCs w:val="28"/>
          <w:highlight w:val="none"/>
        </w:rPr>
        <w:t>×10</w:t>
      </w:r>
      <w:r>
        <w:rPr>
          <w:rFonts w:ascii="Times New Roman" w:hAnsi="Times New Roman" w:cs="Times New Roman"/>
          <w:b/>
          <w:bCs/>
          <w:color w:val="0000FF"/>
          <w:sz w:val="28"/>
          <w:szCs w:val="28"/>
          <w:highlight w:val="none"/>
          <w:vertAlign w:val="superscript"/>
        </w:rPr>
        <w:t>4</w:t>
      </w:r>
      <w:r>
        <w:rPr>
          <w:rFonts w:ascii="Times New Roman" w:hAnsi="Times New Roman" w:cs="Times New Roman"/>
          <w:b/>
          <w:bCs/>
          <w:color w:val="0000FF"/>
          <w:sz w:val="28"/>
          <w:szCs w:val="28"/>
          <w:highlight w:val="none"/>
        </w:rPr>
        <w:t>Nm</w:t>
      </w:r>
      <w:r>
        <w:rPr>
          <w:rFonts w:ascii="Times New Roman" w:hAnsi="Times New Roman" w:cs="Times New Roman"/>
          <w:b/>
          <w:bCs/>
          <w:color w:val="0000FF"/>
          <w:sz w:val="28"/>
          <w:szCs w:val="28"/>
          <w:highlight w:val="none"/>
          <w:vertAlign w:val="superscript"/>
        </w:rPr>
        <w:t>3</w:t>
      </w:r>
    </w:p>
    <w:p>
      <w:pPr>
        <w:spacing w:line="360" w:lineRule="auto"/>
        <w:ind w:firstLine="560" w:firstLineChars="200"/>
        <w:rPr>
          <w:rFonts w:hint="eastAsia" w:ascii="Times New Roman" w:hAnsi="Times New Roman" w:eastAsia="宋体" w:cs="Times New Roman"/>
          <w:color w:val="0000FF"/>
          <w:sz w:val="28"/>
          <w:szCs w:val="28"/>
          <w:highlight w:val="none"/>
          <w:lang w:eastAsia="zh-CN"/>
        </w:rPr>
      </w:pPr>
      <w:r>
        <w:rPr>
          <w:rFonts w:ascii="Times New Roman" w:hAnsi="Times New Roman" w:cs="Times New Roman"/>
          <w:color w:val="0000FF"/>
          <w:sz w:val="28"/>
          <w:szCs w:val="28"/>
          <w:highlight w:val="none"/>
        </w:rPr>
        <w:t>通过以上计算，政府及城镇燃气企业应急储备设施储备需求量为</w:t>
      </w:r>
      <w:r>
        <w:rPr>
          <w:rFonts w:hint="eastAsia" w:ascii="Times New Roman" w:hAnsi="Times New Roman" w:cs="Times New Roman"/>
          <w:b/>
          <w:bCs/>
          <w:color w:val="0000FF"/>
          <w:sz w:val="28"/>
          <w:szCs w:val="28"/>
          <w:highlight w:val="none"/>
          <w:lang w:val="en-US" w:eastAsia="zh-CN"/>
        </w:rPr>
        <w:t>1075.63</w:t>
      </w:r>
      <w:r>
        <w:rPr>
          <w:rFonts w:ascii="Times New Roman" w:hAnsi="Times New Roman" w:cs="Times New Roman"/>
          <w:b/>
          <w:bCs/>
          <w:color w:val="0000FF"/>
          <w:sz w:val="28"/>
          <w:szCs w:val="28"/>
          <w:highlight w:val="none"/>
        </w:rPr>
        <w:t>×</w:t>
      </w:r>
      <w:r>
        <w:rPr>
          <w:rFonts w:ascii="Times New Roman" w:hAnsi="Times New Roman" w:cs="Times New Roman"/>
          <w:b/>
          <w:color w:val="0000FF"/>
          <w:sz w:val="28"/>
          <w:szCs w:val="28"/>
          <w:highlight w:val="none"/>
        </w:rPr>
        <w:t>10</w:t>
      </w:r>
      <w:r>
        <w:rPr>
          <w:rFonts w:ascii="Times New Roman" w:hAnsi="Times New Roman" w:cs="Times New Roman"/>
          <w:b/>
          <w:color w:val="0000FF"/>
          <w:sz w:val="28"/>
          <w:szCs w:val="28"/>
          <w:highlight w:val="none"/>
          <w:vertAlign w:val="superscript"/>
        </w:rPr>
        <w:t>4</w:t>
      </w:r>
      <w:r>
        <w:rPr>
          <w:rFonts w:ascii="Times New Roman" w:hAnsi="Times New Roman" w:cs="Times New Roman"/>
          <w:color w:val="0000FF"/>
          <w:sz w:val="28"/>
          <w:szCs w:val="28"/>
          <w:highlight w:val="none"/>
        </w:rPr>
        <w:t>Nm</w:t>
      </w:r>
      <w:r>
        <w:rPr>
          <w:rFonts w:ascii="Times New Roman" w:hAnsi="Times New Roman" w:cs="Times New Roman"/>
          <w:color w:val="0000FF"/>
          <w:sz w:val="28"/>
          <w:szCs w:val="28"/>
          <w:highlight w:val="none"/>
          <w:vertAlign w:val="superscript"/>
        </w:rPr>
        <w:t>3</w:t>
      </w:r>
      <w:r>
        <w:rPr>
          <w:rFonts w:ascii="Times New Roman" w:hAnsi="Times New Roman" w:cs="Times New Roman"/>
          <w:color w:val="0000FF"/>
          <w:sz w:val="28"/>
          <w:szCs w:val="28"/>
          <w:highlight w:val="none"/>
        </w:rPr>
        <w:t>。其中地方政府储量需求为</w:t>
      </w:r>
      <w:r>
        <w:rPr>
          <w:rFonts w:hint="eastAsia" w:ascii="Times New Roman" w:hAnsi="Times New Roman" w:cs="Times New Roman"/>
          <w:color w:val="0000FF"/>
          <w:sz w:val="28"/>
          <w:szCs w:val="28"/>
          <w:highlight w:val="none"/>
          <w:lang w:eastAsia="zh-CN"/>
        </w:rPr>
        <w:t>：</w:t>
      </w:r>
      <w:r>
        <w:rPr>
          <w:rFonts w:hint="eastAsia" w:ascii="Times New Roman" w:hAnsi="Times New Roman" w:cs="Times New Roman"/>
          <w:b/>
          <w:bCs/>
          <w:color w:val="0000FF"/>
          <w:sz w:val="28"/>
          <w:szCs w:val="28"/>
          <w:highlight w:val="none"/>
          <w:lang w:val="en-US" w:eastAsia="zh-CN"/>
        </w:rPr>
        <w:t>233.85</w:t>
      </w:r>
      <w:r>
        <w:rPr>
          <w:rFonts w:ascii="Times New Roman" w:hAnsi="Times New Roman" w:cs="Times New Roman"/>
          <w:b/>
          <w:bCs/>
          <w:color w:val="0000FF"/>
          <w:sz w:val="28"/>
          <w:szCs w:val="28"/>
          <w:highlight w:val="none"/>
        </w:rPr>
        <w:t>×</w:t>
      </w:r>
      <w:r>
        <w:rPr>
          <w:rFonts w:ascii="Times New Roman" w:hAnsi="Times New Roman" w:cs="Times New Roman"/>
          <w:b/>
          <w:color w:val="0000FF"/>
          <w:sz w:val="28"/>
          <w:szCs w:val="28"/>
          <w:highlight w:val="none"/>
        </w:rPr>
        <w:t>10</w:t>
      </w:r>
      <w:r>
        <w:rPr>
          <w:rFonts w:ascii="Times New Roman" w:hAnsi="Times New Roman" w:cs="Times New Roman"/>
          <w:b/>
          <w:color w:val="0000FF"/>
          <w:sz w:val="28"/>
          <w:szCs w:val="28"/>
          <w:highlight w:val="none"/>
          <w:vertAlign w:val="superscript"/>
        </w:rPr>
        <w:t>4</w:t>
      </w:r>
      <w:r>
        <w:rPr>
          <w:rFonts w:ascii="Times New Roman" w:hAnsi="Times New Roman" w:cs="Times New Roman"/>
          <w:b/>
          <w:color w:val="0000FF"/>
          <w:sz w:val="28"/>
          <w:szCs w:val="28"/>
          <w:highlight w:val="none"/>
        </w:rPr>
        <w:t>Nm</w:t>
      </w:r>
      <w:r>
        <w:rPr>
          <w:rFonts w:ascii="Times New Roman" w:hAnsi="Times New Roman" w:cs="Times New Roman"/>
          <w:b/>
          <w:color w:val="0000FF"/>
          <w:sz w:val="28"/>
          <w:szCs w:val="28"/>
          <w:highlight w:val="none"/>
          <w:vertAlign w:val="superscript"/>
        </w:rPr>
        <w:t>3</w:t>
      </w:r>
      <w:r>
        <w:rPr>
          <w:rFonts w:ascii="Times New Roman" w:hAnsi="Times New Roman" w:cs="Times New Roman"/>
          <w:b/>
          <w:color w:val="0000FF"/>
          <w:sz w:val="28"/>
          <w:szCs w:val="28"/>
          <w:highlight w:val="none"/>
        </w:rPr>
        <w:t>（折合LNG</w:t>
      </w:r>
      <w:r>
        <w:rPr>
          <w:rFonts w:hint="eastAsia" w:ascii="Times New Roman" w:hAnsi="Times New Roman" w:cs="Times New Roman"/>
          <w:b/>
          <w:color w:val="0000FF"/>
          <w:sz w:val="28"/>
          <w:szCs w:val="28"/>
          <w:highlight w:val="none"/>
          <w:lang w:val="en-US" w:eastAsia="zh-CN"/>
        </w:rPr>
        <w:t>0.375</w:t>
      </w:r>
      <w:r>
        <w:rPr>
          <w:rFonts w:ascii="Times New Roman" w:hAnsi="Times New Roman" w:cs="Times New Roman"/>
          <w:b/>
          <w:color w:val="0000FF"/>
          <w:sz w:val="28"/>
          <w:szCs w:val="28"/>
          <w:highlight w:val="none"/>
        </w:rPr>
        <w:t>×10</w:t>
      </w:r>
      <w:r>
        <w:rPr>
          <w:rFonts w:ascii="Times New Roman" w:hAnsi="Times New Roman" w:cs="Times New Roman"/>
          <w:b/>
          <w:color w:val="0000FF"/>
          <w:sz w:val="28"/>
          <w:szCs w:val="28"/>
          <w:highlight w:val="none"/>
          <w:vertAlign w:val="superscript"/>
        </w:rPr>
        <w:t>4</w:t>
      </w:r>
      <w:r>
        <w:rPr>
          <w:rFonts w:ascii="Times New Roman" w:hAnsi="Times New Roman" w:cs="Times New Roman"/>
          <w:b/>
          <w:color w:val="0000FF"/>
          <w:sz w:val="28"/>
          <w:szCs w:val="28"/>
          <w:highlight w:val="none"/>
        </w:rPr>
        <w:t>m</w:t>
      </w:r>
      <w:r>
        <w:rPr>
          <w:rFonts w:ascii="Times New Roman" w:hAnsi="Times New Roman" w:cs="Times New Roman"/>
          <w:b/>
          <w:color w:val="0000FF"/>
          <w:sz w:val="28"/>
          <w:szCs w:val="28"/>
          <w:highlight w:val="none"/>
          <w:vertAlign w:val="superscript"/>
        </w:rPr>
        <w:t>3</w:t>
      </w:r>
      <w:r>
        <w:rPr>
          <w:rFonts w:ascii="Times New Roman" w:hAnsi="Times New Roman" w:cs="Times New Roman"/>
          <w:b/>
          <w:color w:val="0000FF"/>
          <w:sz w:val="28"/>
          <w:szCs w:val="28"/>
          <w:highlight w:val="none"/>
        </w:rPr>
        <w:t>）</w:t>
      </w:r>
      <w:r>
        <w:rPr>
          <w:rFonts w:ascii="Times New Roman" w:hAnsi="Times New Roman" w:cs="Times New Roman"/>
          <w:color w:val="0000FF"/>
          <w:sz w:val="28"/>
          <w:szCs w:val="28"/>
          <w:highlight w:val="none"/>
        </w:rPr>
        <w:t>，企业储量需求为：</w:t>
      </w:r>
      <w:r>
        <w:rPr>
          <w:rFonts w:hint="eastAsia" w:ascii="Times New Roman" w:hAnsi="Times New Roman" w:cs="Times New Roman"/>
          <w:b/>
          <w:bCs/>
          <w:color w:val="0000FF"/>
          <w:sz w:val="28"/>
          <w:szCs w:val="28"/>
          <w:highlight w:val="none"/>
          <w:lang w:val="en-US" w:eastAsia="zh-CN"/>
        </w:rPr>
        <w:t>841.78</w:t>
      </w:r>
      <w:r>
        <w:rPr>
          <w:rFonts w:ascii="Times New Roman" w:hAnsi="Times New Roman" w:cs="Times New Roman"/>
          <w:b/>
          <w:color w:val="0000FF"/>
          <w:sz w:val="28"/>
          <w:szCs w:val="28"/>
          <w:highlight w:val="none"/>
        </w:rPr>
        <w:t>×10</w:t>
      </w:r>
      <w:r>
        <w:rPr>
          <w:rFonts w:ascii="Times New Roman" w:hAnsi="Times New Roman" w:cs="Times New Roman"/>
          <w:b/>
          <w:color w:val="0000FF"/>
          <w:sz w:val="28"/>
          <w:szCs w:val="28"/>
          <w:highlight w:val="none"/>
          <w:vertAlign w:val="superscript"/>
        </w:rPr>
        <w:t>4</w:t>
      </w:r>
      <w:r>
        <w:rPr>
          <w:rFonts w:ascii="Times New Roman" w:hAnsi="Times New Roman" w:cs="Times New Roman"/>
          <w:b/>
          <w:color w:val="0000FF"/>
          <w:sz w:val="28"/>
          <w:szCs w:val="28"/>
          <w:highlight w:val="none"/>
        </w:rPr>
        <w:t>Nm</w:t>
      </w:r>
      <w:r>
        <w:rPr>
          <w:rFonts w:ascii="Times New Roman" w:hAnsi="Times New Roman" w:cs="Times New Roman"/>
          <w:b/>
          <w:color w:val="0000FF"/>
          <w:sz w:val="28"/>
          <w:szCs w:val="28"/>
          <w:highlight w:val="none"/>
          <w:vertAlign w:val="superscript"/>
        </w:rPr>
        <w:t>3</w:t>
      </w:r>
      <w:r>
        <w:rPr>
          <w:rFonts w:ascii="Times New Roman" w:hAnsi="Times New Roman" w:cs="Times New Roman"/>
          <w:b/>
          <w:color w:val="0000FF"/>
          <w:sz w:val="28"/>
          <w:szCs w:val="28"/>
          <w:highlight w:val="none"/>
        </w:rPr>
        <w:t>（折合LNG</w:t>
      </w:r>
      <w:r>
        <w:rPr>
          <w:rFonts w:hint="eastAsia" w:ascii="Times New Roman" w:hAnsi="Times New Roman" w:cs="Times New Roman"/>
          <w:b/>
          <w:color w:val="0000FF"/>
          <w:sz w:val="28"/>
          <w:szCs w:val="28"/>
          <w:highlight w:val="none"/>
          <w:lang w:val="en-US" w:eastAsia="zh-CN"/>
        </w:rPr>
        <w:t>1.347</w:t>
      </w:r>
      <w:r>
        <w:rPr>
          <w:rFonts w:ascii="Times New Roman" w:hAnsi="Times New Roman" w:cs="Times New Roman"/>
          <w:b/>
          <w:color w:val="0000FF"/>
          <w:sz w:val="28"/>
          <w:szCs w:val="28"/>
          <w:highlight w:val="none"/>
        </w:rPr>
        <w:t>×10</w:t>
      </w:r>
      <w:r>
        <w:rPr>
          <w:rFonts w:ascii="Times New Roman" w:hAnsi="Times New Roman" w:cs="Times New Roman"/>
          <w:b/>
          <w:color w:val="0000FF"/>
          <w:sz w:val="28"/>
          <w:szCs w:val="28"/>
          <w:highlight w:val="none"/>
          <w:vertAlign w:val="superscript"/>
        </w:rPr>
        <w:t>4</w:t>
      </w:r>
      <w:r>
        <w:rPr>
          <w:rFonts w:ascii="Times New Roman" w:hAnsi="Times New Roman" w:cs="Times New Roman"/>
          <w:b/>
          <w:color w:val="0000FF"/>
          <w:sz w:val="28"/>
          <w:szCs w:val="28"/>
          <w:highlight w:val="none"/>
        </w:rPr>
        <w:t>m</w:t>
      </w:r>
      <w:r>
        <w:rPr>
          <w:rFonts w:ascii="Times New Roman" w:hAnsi="Times New Roman" w:cs="Times New Roman"/>
          <w:b/>
          <w:color w:val="0000FF"/>
          <w:sz w:val="28"/>
          <w:szCs w:val="28"/>
          <w:highlight w:val="none"/>
          <w:vertAlign w:val="superscript"/>
        </w:rPr>
        <w:t>3</w:t>
      </w:r>
      <w:r>
        <w:rPr>
          <w:rFonts w:ascii="Times New Roman" w:hAnsi="Times New Roman" w:cs="Times New Roman"/>
          <w:b/>
          <w:color w:val="0000FF"/>
          <w:sz w:val="28"/>
          <w:szCs w:val="28"/>
          <w:highlight w:val="none"/>
        </w:rPr>
        <w:t>）</w:t>
      </w:r>
      <w:r>
        <w:rPr>
          <w:rFonts w:ascii="Times New Roman" w:hAnsi="Times New Roman" w:cs="Times New Roman"/>
          <w:color w:val="0000FF"/>
          <w:sz w:val="28"/>
          <w:szCs w:val="28"/>
          <w:highlight w:val="none"/>
        </w:rPr>
        <w:t>。</w:t>
      </w:r>
    </w:p>
    <w:p>
      <w:pPr>
        <w:ind w:firstLine="562" w:firstLineChars="200"/>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lang w:val="en-US" w:eastAsia="zh-CN"/>
        </w:rPr>
        <w:t>3</w:t>
      </w:r>
      <w:r>
        <w:rPr>
          <w:rFonts w:hint="eastAsia" w:ascii="Times New Roman" w:hAnsi="Times New Roman" w:eastAsia="宋体" w:cs="Times New Roman"/>
          <w:b/>
          <w:bCs/>
          <w:color w:val="auto"/>
          <w:sz w:val="28"/>
          <w:szCs w:val="28"/>
          <w:highlight w:val="none"/>
        </w:rPr>
        <w:t>、</w:t>
      </w:r>
      <w:r>
        <w:rPr>
          <w:rFonts w:ascii="Times New Roman" w:hAnsi="Times New Roman" w:eastAsia="宋体" w:cs="Times New Roman"/>
          <w:b/>
          <w:bCs/>
          <w:color w:val="auto"/>
          <w:sz w:val="28"/>
          <w:szCs w:val="28"/>
          <w:highlight w:val="none"/>
        </w:rPr>
        <w:t>应急储备设施规划</w:t>
      </w:r>
      <w:bookmarkEnd w:id="55"/>
    </w:p>
    <w:p>
      <w:pPr>
        <w:ind w:firstLine="560" w:firstLineChars="200"/>
        <w:rPr>
          <w:rFonts w:ascii="Times New Roman" w:hAnsi="Times New Roman" w:eastAsia="宋体" w:cs="Times New Roman"/>
          <w:b/>
          <w:bCs/>
          <w:color w:val="auto"/>
          <w:sz w:val="28"/>
          <w:szCs w:val="28"/>
          <w:highlight w:val="none"/>
        </w:rPr>
      </w:pPr>
      <w:r>
        <w:rPr>
          <w:rFonts w:ascii="Times New Roman" w:hAnsi="Times New Roman" w:cs="Times New Roman"/>
          <w:color w:val="auto"/>
          <w:sz w:val="28"/>
          <w:szCs w:val="28"/>
          <w:highlight w:val="none"/>
        </w:rPr>
        <w:t>现有</w:t>
      </w:r>
      <w:r>
        <w:rPr>
          <w:rFonts w:hint="eastAsia" w:ascii="Times New Roman" w:hAnsi="Times New Roman"/>
          <w:color w:val="auto"/>
          <w:sz w:val="28"/>
          <w:szCs w:val="28"/>
          <w:highlight w:val="none"/>
          <w:lang w:val="en-US" w:eastAsia="zh-CN" w:bidi="th-TH"/>
        </w:rPr>
        <w:t>青台子门站LNG应急储气项目应急储配站</w:t>
      </w:r>
      <w:r>
        <w:rPr>
          <w:rFonts w:ascii="Times New Roman" w:hAnsi="Times New Roman" w:eastAsia="宋体" w:cs="Times New Roman"/>
          <w:color w:val="auto"/>
          <w:sz w:val="28"/>
          <w:szCs w:val="28"/>
          <w:highlight w:val="none"/>
        </w:rPr>
        <w:t>有效储气量为</w:t>
      </w:r>
      <w:r>
        <w:rPr>
          <w:rFonts w:hint="eastAsia" w:ascii="Times New Roman" w:hAnsi="Times New Roman" w:eastAsia="宋体" w:cs="Times New Roman"/>
          <w:color w:val="auto"/>
          <w:sz w:val="28"/>
          <w:szCs w:val="28"/>
          <w:highlight w:val="none"/>
          <w:lang w:val="en-US" w:eastAsia="zh-CN"/>
        </w:rPr>
        <w:t>9.72</w:t>
      </w:r>
      <w:r>
        <w:rPr>
          <w:rFonts w:ascii="Times New Roman" w:hAnsi="Times New Roman" w:eastAsia="宋体" w:cs="Times New Roman"/>
          <w:color w:val="auto"/>
          <w:sz w:val="28"/>
          <w:szCs w:val="28"/>
          <w:highlight w:val="none"/>
        </w:rPr>
        <w:t>×10</w:t>
      </w:r>
      <w:r>
        <w:rPr>
          <w:rFonts w:ascii="Times New Roman" w:hAnsi="Times New Roman" w:eastAsia="宋体" w:cs="Times New Roman"/>
          <w:color w:val="auto"/>
          <w:sz w:val="28"/>
          <w:szCs w:val="28"/>
          <w:highlight w:val="none"/>
          <w:vertAlign w:val="superscript"/>
        </w:rPr>
        <w:t>4</w:t>
      </w:r>
      <w:r>
        <w:rPr>
          <w:rFonts w:hint="eastAsia" w:ascii="Times New Roman" w:hAnsi="Times New Roman" w:eastAsia="宋体" w:cs="Times New Roman"/>
          <w:color w:val="auto"/>
          <w:sz w:val="28"/>
          <w:szCs w:val="28"/>
          <w:highlight w:val="none"/>
        </w:rPr>
        <w:t>N</w:t>
      </w:r>
      <w:r>
        <w:rPr>
          <w:rFonts w:ascii="Times New Roman" w:hAnsi="Times New Roman" w:eastAsia="宋体" w:cs="Times New Roman"/>
          <w:color w:val="auto"/>
          <w:sz w:val="28"/>
          <w:szCs w:val="28"/>
          <w:highlight w:val="none"/>
        </w:rPr>
        <w:t>m</w:t>
      </w:r>
      <w:r>
        <w:rPr>
          <w:rFonts w:ascii="Times New Roman" w:hAnsi="Times New Roman" w:eastAsia="宋体" w:cs="Times New Roman"/>
          <w:color w:val="auto"/>
          <w:sz w:val="28"/>
          <w:szCs w:val="28"/>
          <w:highlight w:val="none"/>
          <w:vertAlign w:val="superscript"/>
        </w:rPr>
        <w:t>3</w:t>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lang w:val="en-US" w:eastAsia="zh-CN"/>
        </w:rPr>
        <w:t>2031-2035年</w:t>
      </w:r>
      <w:r>
        <w:rPr>
          <w:rFonts w:ascii="Times New Roman" w:hAnsi="Times New Roman" w:eastAsia="宋体" w:cs="Times New Roman"/>
          <w:color w:val="auto"/>
          <w:sz w:val="28"/>
          <w:szCs w:val="28"/>
          <w:highlight w:val="none"/>
        </w:rPr>
        <w:t>规划LNG</w:t>
      </w:r>
      <w:r>
        <w:rPr>
          <w:rFonts w:hint="eastAsia" w:ascii="Times New Roman" w:hAnsi="Times New Roman" w:eastAsia="宋体" w:cs="Times New Roman"/>
          <w:color w:val="auto"/>
          <w:sz w:val="28"/>
          <w:szCs w:val="28"/>
          <w:highlight w:val="none"/>
        </w:rPr>
        <w:t>储配</w:t>
      </w:r>
      <w:r>
        <w:rPr>
          <w:rFonts w:ascii="Times New Roman" w:hAnsi="Times New Roman" w:eastAsia="宋体" w:cs="Times New Roman"/>
          <w:color w:val="auto"/>
          <w:sz w:val="28"/>
          <w:szCs w:val="28"/>
          <w:highlight w:val="none"/>
        </w:rPr>
        <w:t>站</w:t>
      </w:r>
      <w:r>
        <w:rPr>
          <w:rFonts w:hint="eastAsia" w:ascii="Times New Roman" w:hAnsi="Times New Roman" w:eastAsia="宋体" w:cs="Times New Roman"/>
          <w:color w:val="auto"/>
          <w:sz w:val="28"/>
          <w:szCs w:val="28"/>
          <w:highlight w:val="none"/>
          <w:lang w:val="en-US" w:eastAsia="zh-CN"/>
        </w:rPr>
        <w:t>1座</w:t>
      </w:r>
      <w:r>
        <w:rPr>
          <w:rFonts w:ascii="Times New Roman" w:hAnsi="Times New Roman" w:eastAsia="宋体" w:cs="Times New Roman"/>
          <w:color w:val="auto"/>
          <w:sz w:val="28"/>
          <w:szCs w:val="28"/>
          <w:highlight w:val="none"/>
        </w:rPr>
        <w:t>，储气量为</w:t>
      </w:r>
      <w:r>
        <w:rPr>
          <w:rFonts w:hint="eastAsia" w:ascii="Times New Roman" w:hAnsi="Times New Roman" w:eastAsia="宋体" w:cs="Times New Roman"/>
          <w:color w:val="auto"/>
          <w:sz w:val="28"/>
          <w:szCs w:val="28"/>
          <w:highlight w:val="none"/>
          <w:lang w:val="en-US" w:eastAsia="zh-CN"/>
        </w:rPr>
        <w:t>50.00</w:t>
      </w:r>
      <w:r>
        <w:rPr>
          <w:rFonts w:ascii="Times New Roman" w:hAnsi="Times New Roman" w:eastAsia="宋体" w:cs="Times New Roman"/>
          <w:color w:val="auto"/>
          <w:sz w:val="28"/>
          <w:szCs w:val="28"/>
          <w:highlight w:val="none"/>
        </w:rPr>
        <w:t>×10</w:t>
      </w:r>
      <w:r>
        <w:rPr>
          <w:rFonts w:ascii="Times New Roman" w:hAnsi="Times New Roman" w:eastAsia="宋体" w:cs="Times New Roman"/>
          <w:color w:val="auto"/>
          <w:sz w:val="28"/>
          <w:szCs w:val="28"/>
          <w:highlight w:val="none"/>
          <w:vertAlign w:val="superscript"/>
        </w:rPr>
        <w:t>4</w:t>
      </w:r>
      <w:r>
        <w:rPr>
          <w:rFonts w:hint="eastAsia" w:ascii="Times New Roman" w:hAnsi="Times New Roman" w:eastAsia="宋体" w:cs="Times New Roman"/>
          <w:color w:val="auto"/>
          <w:sz w:val="28"/>
          <w:szCs w:val="28"/>
          <w:highlight w:val="none"/>
        </w:rPr>
        <w:t>N</w:t>
      </w:r>
      <w:r>
        <w:rPr>
          <w:rFonts w:ascii="Times New Roman" w:hAnsi="Times New Roman" w:eastAsia="宋体" w:cs="Times New Roman"/>
          <w:color w:val="auto"/>
          <w:sz w:val="28"/>
          <w:szCs w:val="28"/>
          <w:highlight w:val="none"/>
        </w:rPr>
        <w:t>m</w:t>
      </w:r>
      <w:r>
        <w:rPr>
          <w:rFonts w:ascii="Times New Roman" w:hAnsi="Times New Roman" w:eastAsia="宋体" w:cs="Times New Roman"/>
          <w:color w:val="auto"/>
          <w:sz w:val="28"/>
          <w:szCs w:val="28"/>
          <w:highlight w:val="none"/>
          <w:vertAlign w:val="superscript"/>
        </w:rPr>
        <w:t>3</w:t>
      </w:r>
      <w:r>
        <w:rPr>
          <w:rFonts w:ascii="Times New Roman" w:hAnsi="Times New Roman" w:eastAsia="宋体" w:cs="Times New Roman"/>
          <w:color w:val="auto"/>
          <w:sz w:val="28"/>
          <w:szCs w:val="28"/>
          <w:highlight w:val="none"/>
        </w:rPr>
        <w:t>，至20</w:t>
      </w:r>
      <w:r>
        <w:rPr>
          <w:rFonts w:hint="eastAsia" w:ascii="Times New Roman" w:hAnsi="Times New Roman" w:eastAsia="宋体" w:cs="Times New Roman"/>
          <w:color w:val="auto"/>
          <w:sz w:val="28"/>
          <w:szCs w:val="28"/>
          <w:highlight w:val="none"/>
          <w:lang w:val="en-US" w:eastAsia="zh-CN"/>
        </w:rPr>
        <w:t>35</w:t>
      </w:r>
      <w:r>
        <w:rPr>
          <w:rFonts w:ascii="Times New Roman" w:hAnsi="Times New Roman" w:eastAsia="宋体" w:cs="Times New Roman"/>
          <w:color w:val="auto"/>
          <w:sz w:val="28"/>
          <w:szCs w:val="28"/>
          <w:highlight w:val="none"/>
        </w:rPr>
        <w:t>年应急储备规模达到</w:t>
      </w:r>
      <w:r>
        <w:rPr>
          <w:rFonts w:hint="eastAsia" w:ascii="Times New Roman" w:hAnsi="Times New Roman" w:eastAsia="宋体" w:cs="Times New Roman"/>
          <w:color w:val="auto"/>
          <w:sz w:val="28"/>
          <w:szCs w:val="28"/>
          <w:highlight w:val="none"/>
          <w:lang w:val="en-US" w:eastAsia="zh-CN"/>
        </w:rPr>
        <w:t>59.72</w:t>
      </w:r>
      <w:r>
        <w:rPr>
          <w:rFonts w:ascii="Times New Roman" w:hAnsi="Times New Roman" w:eastAsia="宋体" w:cs="Times New Roman"/>
          <w:color w:val="auto"/>
          <w:sz w:val="28"/>
          <w:szCs w:val="28"/>
          <w:highlight w:val="none"/>
        </w:rPr>
        <w:t>×10</w:t>
      </w:r>
      <w:r>
        <w:rPr>
          <w:rFonts w:ascii="Times New Roman" w:hAnsi="Times New Roman" w:eastAsia="宋体" w:cs="Times New Roman"/>
          <w:color w:val="auto"/>
          <w:sz w:val="28"/>
          <w:szCs w:val="28"/>
          <w:highlight w:val="none"/>
          <w:vertAlign w:val="superscript"/>
        </w:rPr>
        <w:t>4</w:t>
      </w:r>
      <w:r>
        <w:rPr>
          <w:rFonts w:hint="eastAsia" w:ascii="Times New Roman" w:hAnsi="Times New Roman" w:eastAsia="宋体" w:cs="Times New Roman"/>
          <w:color w:val="auto"/>
          <w:sz w:val="28"/>
          <w:szCs w:val="28"/>
          <w:highlight w:val="none"/>
        </w:rPr>
        <w:t>N</w:t>
      </w:r>
      <w:r>
        <w:rPr>
          <w:rFonts w:ascii="Times New Roman" w:hAnsi="Times New Roman" w:eastAsia="宋体" w:cs="Times New Roman"/>
          <w:color w:val="auto"/>
          <w:sz w:val="28"/>
          <w:szCs w:val="28"/>
          <w:highlight w:val="none"/>
        </w:rPr>
        <w:t>m</w:t>
      </w:r>
      <w:r>
        <w:rPr>
          <w:rFonts w:ascii="Times New Roman" w:hAnsi="Times New Roman" w:eastAsia="宋体" w:cs="Times New Roman"/>
          <w:color w:val="auto"/>
          <w:sz w:val="28"/>
          <w:szCs w:val="28"/>
          <w:highlight w:val="none"/>
          <w:vertAlign w:val="superscript"/>
        </w:rPr>
        <w:t>3</w:t>
      </w:r>
      <w:r>
        <w:rPr>
          <w:rFonts w:ascii="Times New Roman" w:hAnsi="Times New Roman" w:eastAsia="宋体" w:cs="Times New Roman"/>
          <w:color w:val="auto"/>
          <w:sz w:val="28"/>
          <w:szCs w:val="28"/>
          <w:highlight w:val="none"/>
        </w:rPr>
        <w:t>。</w:t>
      </w:r>
    </w:p>
    <w:p>
      <w:pPr>
        <w:ind w:firstLine="560" w:firstLineChars="200"/>
        <w:rPr>
          <w:rFonts w:ascii="Times New Roman" w:hAnsi="Times New Roman" w:cs="Times New Roman"/>
          <w:color w:val="auto"/>
          <w:sz w:val="28"/>
          <w:szCs w:val="28"/>
          <w:highlight w:val="none"/>
        </w:rPr>
      </w:pPr>
      <w:r>
        <w:rPr>
          <w:rFonts w:ascii="Times New Roman" w:hAnsi="Times New Roman" w:cs="Times New Roman"/>
          <w:color w:val="0000FF"/>
          <w:sz w:val="28"/>
          <w:szCs w:val="28"/>
          <w:highlight w:val="none"/>
        </w:rPr>
        <w:t>由1</w:t>
      </w:r>
      <w:r>
        <w:rPr>
          <w:rFonts w:hint="eastAsia" w:ascii="Times New Roman" w:hAnsi="Times New Roman" w:cs="Times New Roman"/>
          <w:color w:val="0000FF"/>
          <w:sz w:val="28"/>
          <w:szCs w:val="28"/>
          <w:highlight w:val="none"/>
          <w:lang w:val="en-US" w:eastAsia="zh-CN"/>
        </w:rPr>
        <w:t>1</w:t>
      </w:r>
      <w:r>
        <w:rPr>
          <w:rFonts w:ascii="Times New Roman" w:hAnsi="Times New Roman" w:cs="Times New Roman"/>
          <w:color w:val="0000FF"/>
          <w:sz w:val="28"/>
          <w:szCs w:val="28"/>
          <w:highlight w:val="none"/>
        </w:rPr>
        <w:t>.5.1节（根据相关政策应急储备量计算）内容可知，根据国家发展改革委和国家能源局发布的《关于加快储气设施建设和完善储气调峰辅助服务市场机制的意见》的文件要求，</w:t>
      </w:r>
      <w:r>
        <w:rPr>
          <w:rFonts w:ascii="Times New Roman" w:hAnsi="Times New Roman" w:cs="Times New Roman"/>
          <w:b w:val="0"/>
          <w:bCs w:val="0"/>
          <w:color w:val="0000FF"/>
          <w:sz w:val="28"/>
          <w:szCs w:val="28"/>
          <w:highlight w:val="none"/>
        </w:rPr>
        <w:t>近期规划期末（2025年），</w:t>
      </w:r>
      <w:r>
        <w:rPr>
          <w:rFonts w:ascii="Times New Roman" w:hAnsi="Times New Roman" w:cs="Times New Roman"/>
          <w:b/>
          <w:bCs/>
          <w:color w:val="0000FF"/>
          <w:sz w:val="28"/>
          <w:szCs w:val="28"/>
          <w:highlight w:val="none"/>
        </w:rPr>
        <w:t>储量缺口为：</w:t>
      </w:r>
      <w:r>
        <w:rPr>
          <w:rFonts w:hint="eastAsia" w:ascii="Times New Roman" w:hAnsi="Times New Roman" w:cs="Times New Roman"/>
          <w:b/>
          <w:bCs/>
          <w:color w:val="0000FF"/>
          <w:sz w:val="28"/>
          <w:szCs w:val="28"/>
          <w:highlight w:val="none"/>
          <w:lang w:val="en-US" w:eastAsia="zh-CN"/>
        </w:rPr>
        <w:t>582.80</w:t>
      </w:r>
      <w:r>
        <w:rPr>
          <w:rFonts w:ascii="Times New Roman" w:hAnsi="Times New Roman" w:cs="Times New Roman"/>
          <w:b/>
          <w:bCs/>
          <w:color w:val="0000FF"/>
          <w:sz w:val="28"/>
          <w:szCs w:val="28"/>
          <w:highlight w:val="none"/>
        </w:rPr>
        <w:t>×10</w:t>
      </w:r>
      <w:r>
        <w:rPr>
          <w:rFonts w:ascii="Times New Roman" w:hAnsi="Times New Roman" w:cs="Times New Roman"/>
          <w:b/>
          <w:bCs/>
          <w:color w:val="0000FF"/>
          <w:sz w:val="28"/>
          <w:szCs w:val="28"/>
          <w:highlight w:val="none"/>
          <w:vertAlign w:val="superscript"/>
        </w:rPr>
        <w:t>4</w:t>
      </w:r>
      <w:r>
        <w:rPr>
          <w:rFonts w:ascii="Times New Roman" w:hAnsi="Times New Roman" w:cs="Times New Roman"/>
          <w:b/>
          <w:bCs/>
          <w:color w:val="0000FF"/>
          <w:sz w:val="28"/>
          <w:szCs w:val="28"/>
          <w:highlight w:val="none"/>
        </w:rPr>
        <w:t>Nm</w:t>
      </w:r>
      <w:r>
        <w:rPr>
          <w:rFonts w:ascii="Times New Roman" w:hAnsi="Times New Roman" w:cs="Times New Roman"/>
          <w:b/>
          <w:bCs/>
          <w:color w:val="0000FF"/>
          <w:sz w:val="28"/>
          <w:szCs w:val="28"/>
          <w:highlight w:val="none"/>
          <w:vertAlign w:val="superscript"/>
        </w:rPr>
        <w:t>3</w:t>
      </w:r>
      <w:r>
        <w:rPr>
          <w:rFonts w:ascii="Times New Roman" w:hAnsi="Times New Roman" w:cs="Times New Roman"/>
          <w:b/>
          <w:bCs/>
          <w:color w:val="0000FF"/>
          <w:sz w:val="28"/>
          <w:szCs w:val="28"/>
          <w:highlight w:val="none"/>
        </w:rPr>
        <w:t>（折合LNG</w:t>
      </w:r>
      <w:r>
        <w:rPr>
          <w:rFonts w:hint="eastAsia" w:ascii="Times New Roman" w:hAnsi="Times New Roman" w:cs="Times New Roman"/>
          <w:b/>
          <w:bCs/>
          <w:color w:val="0000FF"/>
          <w:sz w:val="28"/>
          <w:szCs w:val="28"/>
          <w:highlight w:val="none"/>
          <w:lang w:val="en-US" w:eastAsia="zh-CN"/>
        </w:rPr>
        <w:t>0.933</w:t>
      </w:r>
      <w:r>
        <w:rPr>
          <w:rFonts w:ascii="Times New Roman" w:hAnsi="Times New Roman" w:cs="Times New Roman"/>
          <w:b/>
          <w:bCs/>
          <w:color w:val="0000FF"/>
          <w:sz w:val="28"/>
          <w:szCs w:val="28"/>
          <w:highlight w:val="none"/>
        </w:rPr>
        <w:t>×10</w:t>
      </w:r>
      <w:r>
        <w:rPr>
          <w:rFonts w:ascii="Times New Roman" w:hAnsi="Times New Roman" w:cs="Times New Roman"/>
          <w:b/>
          <w:bCs/>
          <w:color w:val="0000FF"/>
          <w:sz w:val="28"/>
          <w:szCs w:val="28"/>
          <w:highlight w:val="none"/>
          <w:vertAlign w:val="superscript"/>
        </w:rPr>
        <w:t>4</w:t>
      </w:r>
      <w:r>
        <w:rPr>
          <w:rFonts w:ascii="Times New Roman" w:hAnsi="Times New Roman" w:cs="Times New Roman"/>
          <w:b/>
          <w:bCs/>
          <w:color w:val="0000FF"/>
          <w:sz w:val="28"/>
          <w:szCs w:val="28"/>
          <w:highlight w:val="none"/>
        </w:rPr>
        <w:t>m</w:t>
      </w:r>
      <w:r>
        <w:rPr>
          <w:rFonts w:ascii="Times New Roman" w:hAnsi="Times New Roman" w:cs="Times New Roman"/>
          <w:b/>
          <w:bCs/>
          <w:color w:val="0000FF"/>
          <w:sz w:val="28"/>
          <w:szCs w:val="28"/>
          <w:highlight w:val="none"/>
          <w:vertAlign w:val="superscript"/>
        </w:rPr>
        <w:t>3</w:t>
      </w:r>
      <w:r>
        <w:rPr>
          <w:rFonts w:ascii="Times New Roman" w:hAnsi="Times New Roman" w:cs="Times New Roman"/>
          <w:b/>
          <w:bCs/>
          <w:color w:val="0000FF"/>
          <w:sz w:val="28"/>
          <w:szCs w:val="28"/>
          <w:highlight w:val="none"/>
        </w:rPr>
        <w:t>）</w:t>
      </w:r>
      <w:r>
        <w:rPr>
          <w:rFonts w:ascii="Times New Roman" w:hAnsi="Times New Roman" w:cs="Times New Roman"/>
          <w:color w:val="0000FF"/>
          <w:sz w:val="28"/>
          <w:szCs w:val="28"/>
          <w:highlight w:val="none"/>
        </w:rPr>
        <w:t>；</w:t>
      </w:r>
      <w:r>
        <w:rPr>
          <w:rFonts w:hint="eastAsia" w:ascii="Times New Roman" w:hAnsi="Times New Roman" w:cs="Times New Roman"/>
          <w:color w:val="0000FF"/>
          <w:sz w:val="28"/>
          <w:szCs w:val="28"/>
          <w:highlight w:val="none"/>
          <w:lang w:val="en-US" w:eastAsia="zh-CN"/>
        </w:rPr>
        <w:t>中期</w:t>
      </w:r>
      <w:r>
        <w:rPr>
          <w:rFonts w:ascii="Times New Roman" w:hAnsi="Times New Roman" w:cs="Times New Roman"/>
          <w:b w:val="0"/>
          <w:bCs w:val="0"/>
          <w:color w:val="0000FF"/>
          <w:sz w:val="28"/>
          <w:szCs w:val="28"/>
          <w:highlight w:val="none"/>
        </w:rPr>
        <w:t>规划期末（20</w:t>
      </w:r>
      <w:r>
        <w:rPr>
          <w:rFonts w:hint="eastAsia" w:ascii="Times New Roman" w:hAnsi="Times New Roman" w:cs="Times New Roman"/>
          <w:b w:val="0"/>
          <w:bCs w:val="0"/>
          <w:color w:val="0000FF"/>
          <w:sz w:val="28"/>
          <w:szCs w:val="28"/>
          <w:highlight w:val="none"/>
          <w:lang w:val="en-US" w:eastAsia="zh-CN"/>
        </w:rPr>
        <w:t>30</w:t>
      </w:r>
      <w:r>
        <w:rPr>
          <w:rFonts w:ascii="Times New Roman" w:hAnsi="Times New Roman" w:cs="Times New Roman"/>
          <w:b w:val="0"/>
          <w:bCs w:val="0"/>
          <w:color w:val="0000FF"/>
          <w:sz w:val="28"/>
          <w:szCs w:val="28"/>
          <w:highlight w:val="none"/>
        </w:rPr>
        <w:t>年），</w:t>
      </w:r>
      <w:r>
        <w:rPr>
          <w:rFonts w:ascii="Times New Roman" w:hAnsi="Times New Roman" w:cs="Times New Roman"/>
          <w:b/>
          <w:bCs/>
          <w:color w:val="0000FF"/>
          <w:sz w:val="28"/>
          <w:szCs w:val="28"/>
          <w:highlight w:val="none"/>
        </w:rPr>
        <w:t>储量缺口为：</w:t>
      </w:r>
      <w:r>
        <w:rPr>
          <w:rFonts w:hint="eastAsia" w:ascii="Times New Roman" w:hAnsi="Times New Roman" w:cs="Times New Roman"/>
          <w:b/>
          <w:bCs/>
          <w:color w:val="0000FF"/>
          <w:sz w:val="28"/>
          <w:szCs w:val="28"/>
          <w:highlight w:val="none"/>
          <w:lang w:val="en-US" w:eastAsia="zh-CN"/>
        </w:rPr>
        <w:t>786.62</w:t>
      </w:r>
      <w:r>
        <w:rPr>
          <w:rFonts w:ascii="Times New Roman" w:hAnsi="Times New Roman" w:cs="Times New Roman"/>
          <w:b/>
          <w:bCs/>
          <w:color w:val="0000FF"/>
          <w:sz w:val="28"/>
          <w:szCs w:val="28"/>
          <w:highlight w:val="none"/>
        </w:rPr>
        <w:t>×10</w:t>
      </w:r>
      <w:r>
        <w:rPr>
          <w:rFonts w:ascii="Times New Roman" w:hAnsi="Times New Roman" w:cs="Times New Roman"/>
          <w:b/>
          <w:bCs/>
          <w:color w:val="0000FF"/>
          <w:sz w:val="28"/>
          <w:szCs w:val="28"/>
          <w:highlight w:val="none"/>
          <w:vertAlign w:val="superscript"/>
        </w:rPr>
        <w:t>4</w:t>
      </w:r>
      <w:r>
        <w:rPr>
          <w:rFonts w:ascii="Times New Roman" w:hAnsi="Times New Roman" w:cs="Times New Roman"/>
          <w:b/>
          <w:bCs/>
          <w:color w:val="0000FF"/>
          <w:sz w:val="28"/>
          <w:szCs w:val="28"/>
          <w:highlight w:val="none"/>
        </w:rPr>
        <w:t>Nm</w:t>
      </w:r>
      <w:r>
        <w:rPr>
          <w:rFonts w:ascii="Times New Roman" w:hAnsi="Times New Roman" w:cs="Times New Roman"/>
          <w:b/>
          <w:bCs/>
          <w:color w:val="0000FF"/>
          <w:sz w:val="28"/>
          <w:szCs w:val="28"/>
          <w:highlight w:val="none"/>
          <w:vertAlign w:val="superscript"/>
        </w:rPr>
        <w:t>3</w:t>
      </w:r>
      <w:r>
        <w:rPr>
          <w:rFonts w:ascii="Times New Roman" w:hAnsi="Times New Roman" w:cs="Times New Roman"/>
          <w:b/>
          <w:bCs/>
          <w:color w:val="0000FF"/>
          <w:sz w:val="28"/>
          <w:szCs w:val="28"/>
          <w:highlight w:val="none"/>
        </w:rPr>
        <w:t>（折合LNG</w:t>
      </w:r>
      <w:r>
        <w:rPr>
          <w:rFonts w:hint="eastAsia" w:ascii="Times New Roman" w:hAnsi="Times New Roman" w:cs="Times New Roman"/>
          <w:b/>
          <w:bCs/>
          <w:color w:val="0000FF"/>
          <w:sz w:val="28"/>
          <w:szCs w:val="28"/>
          <w:highlight w:val="none"/>
          <w:lang w:val="en-US" w:eastAsia="zh-CN"/>
        </w:rPr>
        <w:t>1.259</w:t>
      </w:r>
      <w:r>
        <w:rPr>
          <w:rFonts w:ascii="Times New Roman" w:hAnsi="Times New Roman" w:cs="Times New Roman"/>
          <w:b/>
          <w:bCs/>
          <w:color w:val="0000FF"/>
          <w:sz w:val="28"/>
          <w:szCs w:val="28"/>
          <w:highlight w:val="none"/>
        </w:rPr>
        <w:t>×10</w:t>
      </w:r>
      <w:r>
        <w:rPr>
          <w:rFonts w:ascii="Times New Roman" w:hAnsi="Times New Roman" w:cs="Times New Roman"/>
          <w:b/>
          <w:bCs/>
          <w:color w:val="0000FF"/>
          <w:sz w:val="28"/>
          <w:szCs w:val="28"/>
          <w:highlight w:val="none"/>
          <w:vertAlign w:val="superscript"/>
        </w:rPr>
        <w:t>4</w:t>
      </w:r>
      <w:r>
        <w:rPr>
          <w:rFonts w:ascii="Times New Roman" w:hAnsi="Times New Roman" w:cs="Times New Roman"/>
          <w:b/>
          <w:bCs/>
          <w:color w:val="0000FF"/>
          <w:sz w:val="28"/>
          <w:szCs w:val="28"/>
          <w:highlight w:val="none"/>
        </w:rPr>
        <w:t>m</w:t>
      </w:r>
      <w:r>
        <w:rPr>
          <w:rFonts w:ascii="Times New Roman" w:hAnsi="Times New Roman" w:cs="Times New Roman"/>
          <w:b/>
          <w:bCs/>
          <w:color w:val="0000FF"/>
          <w:sz w:val="28"/>
          <w:szCs w:val="28"/>
          <w:highlight w:val="none"/>
          <w:vertAlign w:val="superscript"/>
        </w:rPr>
        <w:t>3</w:t>
      </w:r>
      <w:r>
        <w:rPr>
          <w:rFonts w:ascii="Times New Roman" w:hAnsi="Times New Roman" w:cs="Times New Roman"/>
          <w:b/>
          <w:bCs/>
          <w:color w:val="0000FF"/>
          <w:sz w:val="28"/>
          <w:szCs w:val="28"/>
          <w:highlight w:val="none"/>
        </w:rPr>
        <w:t>）</w:t>
      </w:r>
      <w:r>
        <w:rPr>
          <w:rFonts w:ascii="Times New Roman" w:hAnsi="Times New Roman" w:cs="Times New Roman"/>
          <w:color w:val="0000FF"/>
          <w:sz w:val="28"/>
          <w:szCs w:val="28"/>
          <w:highlight w:val="none"/>
        </w:rPr>
        <w:t>；</w:t>
      </w:r>
      <w:r>
        <w:rPr>
          <w:rFonts w:hint="eastAsia" w:ascii="Times New Roman" w:hAnsi="Times New Roman" w:cs="Times New Roman"/>
          <w:color w:val="0000FF"/>
          <w:sz w:val="28"/>
          <w:szCs w:val="28"/>
          <w:highlight w:val="none"/>
          <w:lang w:val="en-US" w:eastAsia="zh-CN"/>
        </w:rPr>
        <w:t>远期</w:t>
      </w:r>
      <w:r>
        <w:rPr>
          <w:rFonts w:ascii="Times New Roman" w:hAnsi="Times New Roman" w:cs="Times New Roman"/>
          <w:color w:val="0000FF"/>
          <w:sz w:val="28"/>
          <w:szCs w:val="28"/>
          <w:highlight w:val="none"/>
        </w:rPr>
        <w:t>规划期末（</w:t>
      </w:r>
      <w:r>
        <w:rPr>
          <w:rFonts w:hint="eastAsia" w:ascii="Times New Roman" w:hAnsi="Times New Roman" w:cs="Times New Roman"/>
          <w:color w:val="0000FF"/>
          <w:sz w:val="28"/>
          <w:szCs w:val="28"/>
          <w:highlight w:val="none"/>
          <w:lang w:val="en-US" w:eastAsia="zh-CN"/>
        </w:rPr>
        <w:t>2035</w:t>
      </w:r>
      <w:r>
        <w:rPr>
          <w:rFonts w:ascii="Times New Roman" w:hAnsi="Times New Roman" w:cs="Times New Roman"/>
          <w:color w:val="0000FF"/>
          <w:sz w:val="28"/>
          <w:szCs w:val="28"/>
          <w:highlight w:val="none"/>
        </w:rPr>
        <w:t>年）</w:t>
      </w:r>
      <w:r>
        <w:rPr>
          <w:rFonts w:ascii="Times New Roman" w:hAnsi="Times New Roman" w:cs="Times New Roman"/>
          <w:b/>
          <w:bCs/>
          <w:color w:val="0000FF"/>
          <w:sz w:val="28"/>
          <w:szCs w:val="28"/>
          <w:highlight w:val="none"/>
        </w:rPr>
        <w:t>储量缺口为：</w:t>
      </w:r>
      <w:r>
        <w:rPr>
          <w:rFonts w:hint="eastAsia" w:ascii="Times New Roman" w:hAnsi="Times New Roman" w:cs="Times New Roman"/>
          <w:b/>
          <w:bCs/>
          <w:color w:val="0000FF"/>
          <w:sz w:val="28"/>
          <w:szCs w:val="28"/>
          <w:highlight w:val="none"/>
          <w:lang w:val="en-US" w:eastAsia="zh-CN"/>
        </w:rPr>
        <w:t>1015.91</w:t>
      </w:r>
      <w:r>
        <w:rPr>
          <w:rFonts w:ascii="Times New Roman" w:hAnsi="Times New Roman" w:cs="Times New Roman"/>
          <w:b/>
          <w:bCs/>
          <w:color w:val="0000FF"/>
          <w:sz w:val="28"/>
          <w:szCs w:val="28"/>
          <w:highlight w:val="none"/>
        </w:rPr>
        <w:t>×10</w:t>
      </w:r>
      <w:r>
        <w:rPr>
          <w:rFonts w:ascii="Times New Roman" w:hAnsi="Times New Roman" w:cs="Times New Roman"/>
          <w:b/>
          <w:bCs/>
          <w:color w:val="0000FF"/>
          <w:sz w:val="28"/>
          <w:szCs w:val="28"/>
          <w:highlight w:val="none"/>
          <w:vertAlign w:val="superscript"/>
        </w:rPr>
        <w:t>4</w:t>
      </w:r>
      <w:r>
        <w:rPr>
          <w:rFonts w:ascii="Times New Roman" w:hAnsi="Times New Roman" w:cs="Times New Roman"/>
          <w:b/>
          <w:bCs/>
          <w:color w:val="0000FF"/>
          <w:sz w:val="28"/>
          <w:szCs w:val="28"/>
          <w:highlight w:val="none"/>
        </w:rPr>
        <w:t>Nm</w:t>
      </w:r>
      <w:r>
        <w:rPr>
          <w:rFonts w:ascii="Times New Roman" w:hAnsi="Times New Roman" w:cs="Times New Roman"/>
          <w:b/>
          <w:bCs/>
          <w:color w:val="0000FF"/>
          <w:sz w:val="28"/>
          <w:szCs w:val="28"/>
          <w:highlight w:val="none"/>
          <w:vertAlign w:val="superscript"/>
        </w:rPr>
        <w:t>3</w:t>
      </w:r>
      <w:r>
        <w:rPr>
          <w:rFonts w:ascii="Times New Roman" w:hAnsi="Times New Roman" w:cs="Times New Roman"/>
          <w:b/>
          <w:bCs/>
          <w:color w:val="0000FF"/>
          <w:sz w:val="28"/>
          <w:szCs w:val="28"/>
          <w:highlight w:val="none"/>
        </w:rPr>
        <w:t>（折合LNG</w:t>
      </w:r>
      <w:r>
        <w:rPr>
          <w:rFonts w:hint="eastAsia" w:ascii="Times New Roman" w:hAnsi="Times New Roman" w:cs="Times New Roman"/>
          <w:b/>
          <w:bCs/>
          <w:color w:val="0000FF"/>
          <w:sz w:val="28"/>
          <w:szCs w:val="28"/>
          <w:highlight w:val="none"/>
          <w:lang w:val="en-US" w:eastAsia="zh-CN"/>
        </w:rPr>
        <w:t>1.626</w:t>
      </w:r>
      <w:r>
        <w:rPr>
          <w:rFonts w:ascii="Times New Roman" w:hAnsi="Times New Roman" w:cs="Times New Roman"/>
          <w:b/>
          <w:bCs/>
          <w:color w:val="0000FF"/>
          <w:sz w:val="28"/>
          <w:szCs w:val="28"/>
          <w:highlight w:val="none"/>
        </w:rPr>
        <w:t>×10</w:t>
      </w:r>
      <w:r>
        <w:rPr>
          <w:rFonts w:ascii="Times New Roman" w:hAnsi="Times New Roman" w:cs="Times New Roman"/>
          <w:b/>
          <w:bCs/>
          <w:color w:val="0000FF"/>
          <w:sz w:val="28"/>
          <w:szCs w:val="28"/>
          <w:highlight w:val="none"/>
          <w:vertAlign w:val="superscript"/>
        </w:rPr>
        <w:t>4</w:t>
      </w:r>
      <w:r>
        <w:rPr>
          <w:rFonts w:ascii="Times New Roman" w:hAnsi="Times New Roman" w:cs="Times New Roman"/>
          <w:b/>
          <w:bCs/>
          <w:color w:val="0000FF"/>
          <w:sz w:val="28"/>
          <w:szCs w:val="28"/>
          <w:highlight w:val="none"/>
        </w:rPr>
        <w:t>m</w:t>
      </w:r>
      <w:r>
        <w:rPr>
          <w:rFonts w:ascii="Times New Roman" w:hAnsi="Times New Roman" w:cs="Times New Roman"/>
          <w:b/>
          <w:bCs/>
          <w:color w:val="0000FF"/>
          <w:sz w:val="28"/>
          <w:szCs w:val="28"/>
          <w:highlight w:val="none"/>
          <w:vertAlign w:val="superscript"/>
        </w:rPr>
        <w:t>3</w:t>
      </w:r>
      <w:r>
        <w:rPr>
          <w:rFonts w:ascii="Times New Roman" w:hAnsi="Times New Roman" w:cs="Times New Roman"/>
          <w:b/>
          <w:bCs/>
          <w:color w:val="0000FF"/>
          <w:sz w:val="28"/>
          <w:szCs w:val="28"/>
          <w:highlight w:val="none"/>
        </w:rPr>
        <w:t>）</w:t>
      </w:r>
      <w:r>
        <w:rPr>
          <w:rFonts w:ascii="Times New Roman" w:hAnsi="Times New Roman" w:cs="Times New Roman"/>
          <w:color w:val="0000FF"/>
          <w:sz w:val="28"/>
          <w:szCs w:val="28"/>
          <w:highlight w:val="none"/>
        </w:rPr>
        <w:t>。其缺口储备量通过租赁</w:t>
      </w:r>
      <w:r>
        <w:rPr>
          <w:rFonts w:hint="eastAsia" w:ascii="Times New Roman" w:hAnsi="Times New Roman" w:cs="Times New Roman"/>
          <w:color w:val="0000FF"/>
          <w:sz w:val="28"/>
          <w:szCs w:val="28"/>
          <w:highlight w:val="none"/>
        </w:rPr>
        <w:t>储气库等</w:t>
      </w:r>
      <w:r>
        <w:rPr>
          <w:rFonts w:ascii="Times New Roman" w:hAnsi="Times New Roman" w:cs="Times New Roman"/>
          <w:color w:val="0000FF"/>
          <w:sz w:val="28"/>
          <w:szCs w:val="28"/>
          <w:highlight w:val="none"/>
        </w:rPr>
        <w:t>方式满足储气要求。</w:t>
      </w:r>
    </w:p>
    <w:p>
      <w:pPr>
        <w:pStyle w:val="3"/>
        <w:rPr>
          <w:color w:val="auto"/>
          <w:highlight w:val="none"/>
        </w:rPr>
      </w:pPr>
      <w:bookmarkStart w:id="56" w:name="_Toc15361"/>
      <w:r>
        <w:rPr>
          <w:rFonts w:hint="eastAsia"/>
          <w:color w:val="auto"/>
          <w:highlight w:val="none"/>
        </w:rPr>
        <w:t>第</w:t>
      </w:r>
      <w:r>
        <w:rPr>
          <w:rFonts w:hint="eastAsia"/>
          <w:color w:val="auto"/>
          <w:highlight w:val="none"/>
          <w:lang w:val="en-US" w:eastAsia="zh-CN"/>
        </w:rPr>
        <w:t>十九</w:t>
      </w:r>
      <w:r>
        <w:rPr>
          <w:rFonts w:hint="eastAsia"/>
          <w:color w:val="auto"/>
          <w:highlight w:val="none"/>
        </w:rPr>
        <w:t>条：中压管网规划</w:t>
      </w:r>
      <w:bookmarkEnd w:id="56"/>
    </w:p>
    <w:p>
      <w:pPr>
        <w:ind w:firstLine="562" w:firstLineChars="200"/>
        <w:rPr>
          <w:rFonts w:ascii="Times New Roman" w:hAnsi="Times New Roman"/>
          <w:b/>
          <w:bCs/>
          <w:color w:val="auto"/>
          <w:sz w:val="28"/>
          <w:szCs w:val="28"/>
          <w:highlight w:val="none"/>
          <w:lang w:bidi="th-TH"/>
        </w:rPr>
      </w:pPr>
      <w:r>
        <w:rPr>
          <w:rFonts w:hint="eastAsia" w:ascii="Times New Roman" w:hAnsi="Times New Roman"/>
          <w:b/>
          <w:bCs/>
          <w:color w:val="auto"/>
          <w:sz w:val="28"/>
          <w:szCs w:val="28"/>
          <w:highlight w:val="none"/>
          <w:lang w:bidi="th-TH"/>
        </w:rPr>
        <w:t>1、规划原则</w:t>
      </w:r>
    </w:p>
    <w:p>
      <w:pPr>
        <w:pStyle w:val="7"/>
        <w:ind w:firstLine="560"/>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bidi="th-TH"/>
        </w:rPr>
        <w:t>（1）应结合城市总体规划和有关专业规划、燃气及各相关行业发展现状，综合协调、总体布局各项城市地下基础设施；</w:t>
      </w:r>
    </w:p>
    <w:p>
      <w:pPr>
        <w:pStyle w:val="7"/>
        <w:ind w:firstLine="560"/>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bidi="th-TH"/>
        </w:rPr>
        <w:t>（2）燃气干线尽量靠近大型用户，以减少管网的</w:t>
      </w:r>
      <w:r>
        <w:rPr>
          <w:rFonts w:hint="eastAsia" w:ascii="Times New Roman" w:hAnsi="Times New Roman"/>
          <w:color w:val="auto"/>
          <w:sz w:val="28"/>
          <w:szCs w:val="28"/>
          <w:highlight w:val="none"/>
          <w:lang w:eastAsia="zh-CN" w:bidi="th-TH"/>
        </w:rPr>
        <w:t>传输</w:t>
      </w:r>
      <w:r>
        <w:rPr>
          <w:rFonts w:hint="eastAsia" w:ascii="Times New Roman" w:hAnsi="Times New Roman"/>
          <w:color w:val="auto"/>
          <w:sz w:val="28"/>
          <w:szCs w:val="28"/>
          <w:highlight w:val="none"/>
          <w:lang w:bidi="th-TH"/>
        </w:rPr>
        <w:t>流量，提高管网输送效率，减少次干线及支线长度，节约投资；</w:t>
      </w:r>
    </w:p>
    <w:p>
      <w:pPr>
        <w:pStyle w:val="7"/>
        <w:ind w:firstLine="560"/>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bidi="th-TH"/>
        </w:rPr>
        <w:t>（3）在安全供气、布局合理的原则下，尽量减少穿跨越工程，以减少投资，必须穿越时，要有一定的防护措施；</w:t>
      </w:r>
    </w:p>
    <w:p>
      <w:pPr>
        <w:pStyle w:val="7"/>
        <w:ind w:firstLine="560"/>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bidi="th-TH"/>
        </w:rPr>
        <w:t>（4）为提高管网系统的安全可靠性，中压干管尽量</w:t>
      </w:r>
      <w:r>
        <w:rPr>
          <w:rFonts w:hint="eastAsia" w:ascii="Times New Roman" w:hAnsi="Times New Roman"/>
          <w:color w:val="auto"/>
          <w:sz w:val="28"/>
          <w:szCs w:val="28"/>
          <w:highlight w:val="none"/>
          <w:lang w:val="en-US" w:eastAsia="zh-CN" w:bidi="th-TH"/>
        </w:rPr>
        <w:t>呈</w:t>
      </w:r>
      <w:r>
        <w:rPr>
          <w:rFonts w:hint="eastAsia" w:ascii="Times New Roman" w:hAnsi="Times New Roman"/>
          <w:color w:val="auto"/>
          <w:sz w:val="28"/>
          <w:szCs w:val="28"/>
          <w:highlight w:val="none"/>
          <w:lang w:bidi="th-TH"/>
        </w:rPr>
        <w:t>环状布置；</w:t>
      </w:r>
    </w:p>
    <w:p>
      <w:pPr>
        <w:pStyle w:val="7"/>
        <w:ind w:firstLine="560"/>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bidi="th-TH"/>
        </w:rPr>
        <w:t>（5）管网布置贯彻远近结合，既考虑道路现状又满足规划要求，避免在管道可用期限内开挖改建。</w:t>
      </w:r>
    </w:p>
    <w:p>
      <w:pPr>
        <w:pStyle w:val="7"/>
        <w:ind w:firstLine="560"/>
        <w:rPr>
          <w:rFonts w:ascii="Times New Roman" w:hAnsi="Times New Roman"/>
          <w:b/>
          <w:bCs/>
          <w:color w:val="auto"/>
          <w:sz w:val="28"/>
          <w:szCs w:val="28"/>
          <w:highlight w:val="none"/>
          <w:lang w:bidi="th-TH"/>
        </w:rPr>
      </w:pPr>
      <w:r>
        <w:rPr>
          <w:rFonts w:hint="eastAsia" w:ascii="Times New Roman" w:hAnsi="Times New Roman"/>
          <w:b/>
          <w:bCs/>
          <w:color w:val="auto"/>
          <w:sz w:val="28"/>
          <w:szCs w:val="28"/>
          <w:highlight w:val="none"/>
          <w:lang w:bidi="th-TH"/>
        </w:rPr>
        <w:t>2、压力级制</w:t>
      </w:r>
    </w:p>
    <w:p>
      <w:pPr>
        <w:pStyle w:val="7"/>
        <w:ind w:firstLine="56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为了给</w:t>
      </w:r>
      <w:r>
        <w:rPr>
          <w:rFonts w:hint="eastAsia" w:ascii="Times New Roman" w:hAnsi="Times New Roman"/>
          <w:color w:val="auto"/>
          <w:sz w:val="28"/>
          <w:szCs w:val="28"/>
          <w:highlight w:val="none"/>
          <w:lang w:val="en-US" w:eastAsia="zh-CN" w:bidi="th-TH"/>
        </w:rPr>
        <w:t>园区</w:t>
      </w:r>
      <w:r>
        <w:rPr>
          <w:rFonts w:ascii="Times New Roman" w:hAnsi="Times New Roman"/>
          <w:color w:val="auto"/>
          <w:sz w:val="28"/>
          <w:szCs w:val="28"/>
          <w:highlight w:val="none"/>
          <w:lang w:bidi="th-TH"/>
        </w:rPr>
        <w:t>发展留有余地，节省投资，同时考虑随着天然气市场的不断扩大，供气技术手段、设备的不断进步，供气压力的提高已是一种发展趋势，因此本次规划确定中压管道设计压力为0.4MPa，属中压A级管道。</w:t>
      </w:r>
    </w:p>
    <w:p>
      <w:pPr>
        <w:ind w:firstLine="562" w:firstLineChars="200"/>
        <w:rPr>
          <w:rFonts w:ascii="Times New Roman" w:hAnsi="Times New Roman"/>
          <w:b/>
          <w:bCs/>
          <w:color w:val="auto"/>
          <w:sz w:val="28"/>
          <w:szCs w:val="28"/>
          <w:highlight w:val="none"/>
          <w:lang w:bidi="th-TH"/>
        </w:rPr>
      </w:pPr>
      <w:r>
        <w:rPr>
          <w:rFonts w:hint="eastAsia" w:ascii="Times New Roman" w:hAnsi="Times New Roman"/>
          <w:b/>
          <w:bCs/>
          <w:color w:val="auto"/>
          <w:sz w:val="28"/>
          <w:szCs w:val="28"/>
          <w:highlight w:val="none"/>
          <w:lang w:bidi="th-TH"/>
        </w:rPr>
        <w:t>3、中压管网规划</w:t>
      </w:r>
    </w:p>
    <w:p>
      <w:pPr>
        <w:ind w:firstLine="560" w:firstLineChars="200"/>
        <w:rPr>
          <w:rFonts w:hint="default" w:ascii="Times New Roman" w:hAnsi="Times New Roman"/>
          <w:color w:val="auto"/>
          <w:sz w:val="28"/>
          <w:szCs w:val="28"/>
          <w:highlight w:val="none"/>
          <w:lang w:val="en-US" w:bidi="th-TH"/>
        </w:rPr>
      </w:pPr>
      <w:r>
        <w:rPr>
          <w:rFonts w:hint="eastAsia" w:ascii="Times New Roman" w:hAnsi="Times New Roman" w:cs="Times New Roman"/>
          <w:color w:val="auto"/>
          <w:sz w:val="28"/>
          <w:szCs w:val="28"/>
          <w:highlight w:val="none"/>
          <w:lang w:val="en-US" w:eastAsia="zh-CN" w:bidi="th-TH"/>
        </w:rPr>
        <w:t>近期（2023-2025年）规划中压管网1.30m，</w:t>
      </w:r>
      <w:r>
        <w:rPr>
          <w:rFonts w:hint="eastAsia" w:ascii="Times New Roman" w:hAnsi="Times New Roman" w:cs="Times New Roman"/>
          <w:color w:val="0000FF"/>
          <w:sz w:val="28"/>
          <w:szCs w:val="28"/>
          <w:highlight w:val="none"/>
          <w:lang w:val="en-US" w:eastAsia="zh-CN" w:bidi="th-TH"/>
        </w:rPr>
        <w:t>中期（2026-2030年）规划建设中压管网4.20km，</w:t>
      </w:r>
      <w:r>
        <w:rPr>
          <w:rFonts w:hint="eastAsia" w:ascii="Times New Roman" w:hAnsi="Times New Roman" w:cs="Times New Roman"/>
          <w:color w:val="auto"/>
          <w:sz w:val="28"/>
          <w:szCs w:val="28"/>
          <w:highlight w:val="none"/>
          <w:lang w:val="en-US" w:eastAsia="zh-CN" w:bidi="th-TH"/>
        </w:rPr>
        <w:t>合计规划建设中压管网5.50km，具体情况见下表。</w:t>
      </w:r>
    </w:p>
    <w:p>
      <w:pPr>
        <w:keepNext w:val="0"/>
        <w:keepLines w:val="0"/>
        <w:pageBreakBefore w:val="0"/>
        <w:kinsoku/>
        <w:wordWrap/>
        <w:overflowPunct/>
        <w:topLinePunct w:val="0"/>
        <w:autoSpaceDE/>
        <w:autoSpaceDN/>
        <w:bidi w:val="0"/>
        <w:adjustRightInd/>
        <w:spacing w:line="360" w:lineRule="auto"/>
        <w:ind w:firstLine="481" w:firstLineChars="200"/>
        <w:jc w:val="center"/>
        <w:rPr>
          <w:rFonts w:ascii="Times New Roman" w:hAnsi="Times New Roman"/>
          <w:b/>
          <w:color w:val="0000FF"/>
          <w:sz w:val="24"/>
          <w:highlight w:val="none"/>
        </w:rPr>
      </w:pPr>
      <w:bookmarkStart w:id="57" w:name="_Hlk97026240"/>
      <w:r>
        <w:rPr>
          <w:rFonts w:ascii="Times New Roman" w:hAnsi="Times New Roman"/>
          <w:b/>
          <w:color w:val="0000FF"/>
          <w:sz w:val="24"/>
          <w:highlight w:val="none"/>
        </w:rPr>
        <w:t>表4-</w:t>
      </w:r>
      <w:r>
        <w:rPr>
          <w:rFonts w:hint="eastAsia" w:ascii="Times New Roman" w:hAnsi="Times New Roman"/>
          <w:b/>
          <w:color w:val="0000FF"/>
          <w:sz w:val="24"/>
          <w:highlight w:val="none"/>
          <w:lang w:val="en-US" w:eastAsia="zh-CN"/>
        </w:rPr>
        <w:t>11</w:t>
      </w:r>
      <w:r>
        <w:rPr>
          <w:rFonts w:ascii="Times New Roman" w:hAnsi="Times New Roman"/>
          <w:b/>
          <w:color w:val="0000FF"/>
          <w:sz w:val="24"/>
          <w:highlight w:val="none"/>
        </w:rPr>
        <w:t xml:space="preserve">  </w:t>
      </w:r>
      <w:r>
        <w:rPr>
          <w:rFonts w:hint="eastAsia" w:ascii="Times New Roman" w:hAnsi="Times New Roman"/>
          <w:b/>
          <w:color w:val="0000FF"/>
          <w:sz w:val="24"/>
          <w:highlight w:val="none"/>
        </w:rPr>
        <w:t>近期（2023-2025年）规划中压管网</w:t>
      </w:r>
    </w:p>
    <w:bookmarkEnd w:id="57"/>
    <w:tbl>
      <w:tblPr>
        <w:tblStyle w:val="29"/>
        <w:tblW w:w="10044"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7"/>
        <w:gridCol w:w="5367"/>
        <w:gridCol w:w="1300"/>
        <w:gridCol w:w="1218"/>
        <w:gridCol w:w="1522"/>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bookmarkStart w:id="58" w:name="_Hlk97029396"/>
            <w:r>
              <w:rPr>
                <w:rFonts w:hint="default" w:ascii="Times New Roman" w:hAnsi="Times New Roman" w:eastAsia="宋体" w:cs="Times New Roman"/>
                <w:color w:val="auto"/>
                <w:sz w:val="24"/>
                <w:highlight w:val="none"/>
              </w:rPr>
              <w:t>序号</w:t>
            </w:r>
          </w:p>
        </w:tc>
        <w:tc>
          <w:tcPr>
            <w:tcW w:w="5367"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起止点</w:t>
            </w:r>
          </w:p>
        </w:tc>
        <w:tc>
          <w:tcPr>
            <w:tcW w:w="1300"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设计压力（MPa）</w:t>
            </w:r>
          </w:p>
        </w:tc>
        <w:tc>
          <w:tcPr>
            <w:tcW w:w="1218"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管径（mm）</w:t>
            </w:r>
          </w:p>
        </w:tc>
        <w:tc>
          <w:tcPr>
            <w:tcW w:w="1522"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长度（km）</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37"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w:t>
            </w:r>
          </w:p>
        </w:tc>
        <w:tc>
          <w:tcPr>
            <w:tcW w:w="5367"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虎东一街（郎平路-虎东一街北延至开发边界）</w:t>
            </w:r>
          </w:p>
        </w:tc>
        <w:tc>
          <w:tcPr>
            <w:tcW w:w="1300"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0.4</w:t>
            </w:r>
          </w:p>
        </w:tc>
        <w:tc>
          <w:tcPr>
            <w:tcW w:w="1218"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de200</w:t>
            </w:r>
          </w:p>
        </w:tc>
        <w:tc>
          <w:tcPr>
            <w:tcW w:w="1522"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0.60</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37"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w:t>
            </w:r>
          </w:p>
        </w:tc>
        <w:tc>
          <w:tcPr>
            <w:tcW w:w="5367"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青草二街（郎平路-青草二街北延至开发边界）</w:t>
            </w:r>
          </w:p>
        </w:tc>
        <w:tc>
          <w:tcPr>
            <w:tcW w:w="1300"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0.4</w:t>
            </w:r>
          </w:p>
        </w:tc>
        <w:tc>
          <w:tcPr>
            <w:tcW w:w="1218"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de200</w:t>
            </w:r>
          </w:p>
        </w:tc>
        <w:tc>
          <w:tcPr>
            <w:tcW w:w="1522"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0.70</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522" w:type="dxa"/>
            <w:gridSpan w:val="4"/>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合  计</w:t>
            </w:r>
          </w:p>
        </w:tc>
        <w:tc>
          <w:tcPr>
            <w:tcW w:w="1522"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1.30</w:t>
            </w:r>
          </w:p>
        </w:tc>
      </w:tr>
      <w:bookmarkEnd w:id="58"/>
    </w:tbl>
    <w:p>
      <w:pPr>
        <w:bidi w:val="0"/>
        <w:rPr>
          <w:color w:val="auto"/>
          <w:highlight w:val="none"/>
        </w:rPr>
      </w:pPr>
    </w:p>
    <w:p>
      <w:pPr>
        <w:keepNext w:val="0"/>
        <w:keepLines w:val="0"/>
        <w:pageBreakBefore w:val="0"/>
        <w:kinsoku/>
        <w:wordWrap/>
        <w:overflowPunct/>
        <w:topLinePunct w:val="0"/>
        <w:autoSpaceDE/>
        <w:autoSpaceDN/>
        <w:bidi w:val="0"/>
        <w:adjustRightInd/>
        <w:spacing w:line="360" w:lineRule="auto"/>
        <w:ind w:firstLine="481" w:firstLineChars="200"/>
        <w:jc w:val="center"/>
        <w:rPr>
          <w:rFonts w:ascii="Times New Roman" w:hAnsi="Times New Roman"/>
          <w:b/>
          <w:color w:val="auto"/>
          <w:sz w:val="24"/>
          <w:highlight w:val="none"/>
        </w:rPr>
      </w:pPr>
      <w:r>
        <w:rPr>
          <w:rFonts w:ascii="Times New Roman" w:hAnsi="Times New Roman"/>
          <w:b/>
          <w:color w:val="0000FF"/>
          <w:sz w:val="24"/>
          <w:highlight w:val="none"/>
        </w:rPr>
        <w:t>表</w:t>
      </w:r>
      <w:r>
        <w:rPr>
          <w:rFonts w:hint="eastAsia" w:ascii="Times New Roman" w:hAnsi="Times New Roman"/>
          <w:b/>
          <w:color w:val="0000FF"/>
          <w:sz w:val="24"/>
          <w:highlight w:val="none"/>
          <w:lang w:val="en-US" w:eastAsia="zh-CN"/>
        </w:rPr>
        <w:t>4-12</w:t>
      </w:r>
      <w:r>
        <w:rPr>
          <w:rFonts w:ascii="Times New Roman" w:hAnsi="Times New Roman"/>
          <w:b/>
          <w:color w:val="0000FF"/>
          <w:sz w:val="24"/>
          <w:highlight w:val="none"/>
        </w:rPr>
        <w:t xml:space="preserve">  </w:t>
      </w:r>
      <w:r>
        <w:rPr>
          <w:rFonts w:hint="eastAsia" w:ascii="Times New Roman" w:hAnsi="Times New Roman"/>
          <w:b/>
          <w:color w:val="0000FF"/>
          <w:sz w:val="24"/>
          <w:highlight w:val="none"/>
        </w:rPr>
        <w:t>中期（2026-2030年）规划中压管网</w:t>
      </w:r>
    </w:p>
    <w:tbl>
      <w:tblPr>
        <w:tblStyle w:val="29"/>
        <w:tblW w:w="10044"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4"/>
        <w:gridCol w:w="4488"/>
        <w:gridCol w:w="1286"/>
        <w:gridCol w:w="1844"/>
        <w:gridCol w:w="1522"/>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Borders>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4488" w:type="dxa"/>
            <w:tcBorders>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起止点</w:t>
            </w:r>
          </w:p>
        </w:tc>
        <w:tc>
          <w:tcPr>
            <w:tcW w:w="1286" w:type="dxa"/>
            <w:tcBorders>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设计压力（MPa）</w:t>
            </w:r>
          </w:p>
        </w:tc>
        <w:tc>
          <w:tcPr>
            <w:tcW w:w="1844" w:type="dxa"/>
            <w:tcBorders>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管径（mm）</w:t>
            </w:r>
          </w:p>
        </w:tc>
        <w:tc>
          <w:tcPr>
            <w:tcW w:w="1522" w:type="dxa"/>
            <w:tcBorders>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长度（km）</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04"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4"/>
                <w:highlight w:val="none"/>
                <w:lang w:val="en-US" w:eastAsia="zh-CN"/>
              </w:rPr>
            </w:pPr>
            <w:r>
              <w:rPr>
                <w:rFonts w:hint="eastAsia" w:ascii="Times New Roman" w:hAnsi="Times New Roman" w:cs="Times New Roman"/>
                <w:color w:val="auto"/>
                <w:sz w:val="24"/>
                <w:highlight w:val="none"/>
                <w:lang w:val="en-US" w:eastAsia="zh-CN"/>
              </w:rPr>
              <w:t>1</w:t>
            </w:r>
          </w:p>
        </w:tc>
        <w:tc>
          <w:tcPr>
            <w:tcW w:w="448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海新规划二路</w:t>
            </w: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海新街-西北侧开发边界</w:t>
            </w:r>
            <w:r>
              <w:rPr>
                <w:rFonts w:hint="eastAsia" w:ascii="Times New Roman" w:hAnsi="Times New Roman" w:cs="Times New Roman"/>
                <w:color w:val="auto"/>
                <w:sz w:val="24"/>
                <w:highlight w:val="none"/>
              </w:rPr>
              <w:t>）</w:t>
            </w:r>
          </w:p>
        </w:tc>
        <w:tc>
          <w:tcPr>
            <w:tcW w:w="1286" w:type="dxa"/>
            <w:tcBorders>
              <w:tl2br w:val="nil"/>
              <w:tr2bl w:val="nil"/>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等线" w:cs="Times New Roman"/>
                <w:color w:val="auto"/>
                <w:kern w:val="0"/>
                <w:sz w:val="24"/>
                <w:highlight w:val="none"/>
                <w:lang w:bidi="ar"/>
              </w:rPr>
              <w:t>0.4</w:t>
            </w:r>
          </w:p>
        </w:tc>
        <w:tc>
          <w:tcPr>
            <w:tcW w:w="1844" w:type="dxa"/>
            <w:tcBorders>
              <w:tl2br w:val="nil"/>
              <w:tr2bl w:val="nil"/>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等线" w:cs="Times New Roman"/>
                <w:color w:val="auto"/>
                <w:sz w:val="24"/>
                <w:highlight w:val="none"/>
              </w:rPr>
            </w:pPr>
            <w:r>
              <w:rPr>
                <w:rFonts w:hint="eastAsia" w:ascii="Times New Roman" w:hAnsi="Times New Roman" w:eastAsia="宋体" w:cs="Times New Roman"/>
                <w:color w:val="auto"/>
                <w:sz w:val="24"/>
                <w:highlight w:val="none"/>
                <w:lang w:val="en-US" w:eastAsia="zh-CN"/>
              </w:rPr>
              <w:t>de200</w:t>
            </w:r>
          </w:p>
        </w:tc>
        <w:tc>
          <w:tcPr>
            <w:tcW w:w="1522" w:type="dxa"/>
            <w:tcBorders>
              <w:tl2br w:val="nil"/>
              <w:tr2bl w:val="nil"/>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1.70</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04"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2</w:t>
            </w:r>
          </w:p>
        </w:tc>
        <w:tc>
          <w:tcPr>
            <w:tcW w:w="448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海新规划一街（双面路-海新规划二路）</w:t>
            </w:r>
          </w:p>
        </w:tc>
        <w:tc>
          <w:tcPr>
            <w:tcW w:w="1286" w:type="dxa"/>
            <w:tcBorders>
              <w:tl2br w:val="nil"/>
              <w:tr2bl w:val="nil"/>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等线" w:cs="Times New Roman"/>
                <w:color w:val="auto"/>
                <w:kern w:val="0"/>
                <w:sz w:val="24"/>
                <w:highlight w:val="none"/>
                <w:lang w:bidi="ar"/>
              </w:rPr>
            </w:pPr>
            <w:r>
              <w:rPr>
                <w:rFonts w:hint="default" w:ascii="Times New Roman" w:hAnsi="Times New Roman" w:eastAsia="等线" w:cs="Times New Roman"/>
                <w:color w:val="auto"/>
                <w:kern w:val="0"/>
                <w:sz w:val="24"/>
                <w:highlight w:val="none"/>
                <w:lang w:bidi="ar"/>
              </w:rPr>
              <w:t>0.4</w:t>
            </w:r>
          </w:p>
        </w:tc>
        <w:tc>
          <w:tcPr>
            <w:tcW w:w="1844" w:type="dxa"/>
            <w:tcBorders>
              <w:tl2br w:val="nil"/>
              <w:tr2bl w:val="nil"/>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de200</w:t>
            </w:r>
          </w:p>
        </w:tc>
        <w:tc>
          <w:tcPr>
            <w:tcW w:w="1522" w:type="dxa"/>
            <w:tcBorders>
              <w:tl2br w:val="nil"/>
              <w:tr2bl w:val="nil"/>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1.10</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04"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3</w:t>
            </w:r>
          </w:p>
        </w:tc>
        <w:tc>
          <w:tcPr>
            <w:tcW w:w="448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海新规划一路（海新街-西北侧开发边界）</w:t>
            </w:r>
          </w:p>
        </w:tc>
        <w:tc>
          <w:tcPr>
            <w:tcW w:w="1286" w:type="dxa"/>
            <w:tcBorders>
              <w:tl2br w:val="nil"/>
              <w:tr2bl w:val="nil"/>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等线" w:cs="Times New Roman"/>
                <w:color w:val="auto"/>
                <w:kern w:val="0"/>
                <w:sz w:val="24"/>
                <w:highlight w:val="none"/>
                <w:lang w:bidi="ar"/>
              </w:rPr>
            </w:pPr>
            <w:r>
              <w:rPr>
                <w:rFonts w:hint="default" w:ascii="Times New Roman" w:hAnsi="Times New Roman" w:eastAsia="等线" w:cs="Times New Roman"/>
                <w:color w:val="auto"/>
                <w:kern w:val="0"/>
                <w:sz w:val="24"/>
                <w:highlight w:val="none"/>
                <w:lang w:bidi="ar"/>
              </w:rPr>
              <w:t>0.4</w:t>
            </w:r>
          </w:p>
        </w:tc>
        <w:tc>
          <w:tcPr>
            <w:tcW w:w="1844" w:type="dxa"/>
            <w:tcBorders>
              <w:tl2br w:val="nil"/>
              <w:tr2bl w:val="nil"/>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de200</w:t>
            </w:r>
          </w:p>
        </w:tc>
        <w:tc>
          <w:tcPr>
            <w:tcW w:w="1522" w:type="dxa"/>
            <w:tcBorders>
              <w:tl2br w:val="nil"/>
              <w:tr2bl w:val="nil"/>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0.80</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04"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4</w:t>
            </w:r>
          </w:p>
        </w:tc>
        <w:tc>
          <w:tcPr>
            <w:tcW w:w="448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海新街-规划高中压调压站</w:t>
            </w:r>
          </w:p>
        </w:tc>
        <w:tc>
          <w:tcPr>
            <w:tcW w:w="1286" w:type="dxa"/>
            <w:tcBorders>
              <w:tl2br w:val="nil"/>
              <w:tr2bl w:val="nil"/>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等线" w:cs="Times New Roman"/>
                <w:color w:val="auto"/>
                <w:kern w:val="0"/>
                <w:sz w:val="24"/>
                <w:highlight w:val="none"/>
                <w:lang w:bidi="ar"/>
              </w:rPr>
            </w:pPr>
            <w:r>
              <w:rPr>
                <w:rFonts w:hint="default" w:ascii="Times New Roman" w:hAnsi="Times New Roman" w:eastAsia="等线" w:cs="Times New Roman"/>
                <w:color w:val="auto"/>
                <w:kern w:val="0"/>
                <w:sz w:val="24"/>
                <w:highlight w:val="none"/>
                <w:lang w:bidi="ar"/>
              </w:rPr>
              <w:t>0.4</w:t>
            </w:r>
          </w:p>
        </w:tc>
        <w:tc>
          <w:tcPr>
            <w:tcW w:w="1844" w:type="dxa"/>
            <w:tcBorders>
              <w:tl2br w:val="nil"/>
              <w:tr2bl w:val="nil"/>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de200</w:t>
            </w:r>
          </w:p>
        </w:tc>
        <w:tc>
          <w:tcPr>
            <w:tcW w:w="1522" w:type="dxa"/>
            <w:tcBorders>
              <w:tl2br w:val="nil"/>
              <w:tr2bl w:val="nil"/>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0.60</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522" w:type="dxa"/>
            <w:gridSpan w:val="4"/>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4"/>
                <w:highlight w:val="none"/>
                <w:lang w:val="en-US" w:eastAsia="zh-CN"/>
              </w:rPr>
            </w:pPr>
            <w:r>
              <w:rPr>
                <w:rFonts w:hint="eastAsia" w:ascii="Times New Roman" w:hAnsi="Times New Roman" w:cs="Times New Roman"/>
                <w:b/>
                <w:bCs/>
                <w:color w:val="auto"/>
                <w:sz w:val="24"/>
                <w:highlight w:val="none"/>
                <w:lang w:val="en-US" w:eastAsia="zh-CN"/>
              </w:rPr>
              <w:t>合  计</w:t>
            </w:r>
          </w:p>
        </w:tc>
        <w:tc>
          <w:tcPr>
            <w:tcW w:w="152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4"/>
                <w:highlight w:val="none"/>
                <w:lang w:val="en-US" w:eastAsia="zh-CN"/>
              </w:rPr>
            </w:pPr>
            <w:r>
              <w:rPr>
                <w:rFonts w:hint="eastAsia" w:ascii="Times New Roman" w:hAnsi="Times New Roman" w:cs="Times New Roman"/>
                <w:b/>
                <w:bCs/>
                <w:color w:val="auto"/>
                <w:sz w:val="24"/>
                <w:highlight w:val="none"/>
                <w:lang w:val="en-US" w:eastAsia="zh-CN"/>
              </w:rPr>
              <w:t>4.20</w:t>
            </w:r>
          </w:p>
        </w:tc>
      </w:tr>
    </w:tbl>
    <w:p>
      <w:pPr>
        <w:rPr>
          <w:rFonts w:hint="eastAsia" w:ascii="Times New Roman" w:hAnsi="Times New Roman" w:cs="Times New Roman"/>
          <w:color w:val="auto"/>
          <w:sz w:val="28"/>
          <w:szCs w:val="28"/>
          <w:highlight w:val="none"/>
          <w:lang w:eastAsia="zh-CN"/>
        </w:rPr>
      </w:pPr>
    </w:p>
    <w:p>
      <w:pPr>
        <w:pStyle w:val="2"/>
        <w:rPr>
          <w:color w:val="auto"/>
          <w:highlight w:val="none"/>
        </w:rPr>
      </w:pPr>
      <w:bookmarkStart w:id="59" w:name="_Toc10291"/>
      <w:r>
        <w:rPr>
          <w:rFonts w:hint="eastAsia"/>
          <w:color w:val="auto"/>
          <w:highlight w:val="none"/>
        </w:rPr>
        <w:t>第</w:t>
      </w:r>
      <w:r>
        <w:rPr>
          <w:rFonts w:hint="eastAsia"/>
          <w:color w:val="auto"/>
          <w:highlight w:val="none"/>
          <w:lang w:val="en-US" w:eastAsia="zh-CN"/>
        </w:rPr>
        <w:t>五</w:t>
      </w:r>
      <w:r>
        <w:rPr>
          <w:rFonts w:hint="eastAsia"/>
          <w:color w:val="auto"/>
          <w:highlight w:val="none"/>
        </w:rPr>
        <w:t xml:space="preserve">章 </w:t>
      </w:r>
      <w:r>
        <w:rPr>
          <w:color w:val="auto"/>
          <w:highlight w:val="none"/>
        </w:rPr>
        <w:t xml:space="preserve"> </w:t>
      </w:r>
      <w:r>
        <w:rPr>
          <w:rFonts w:hint="eastAsia"/>
          <w:color w:val="auto"/>
          <w:highlight w:val="none"/>
        </w:rPr>
        <w:t>智慧燃气规划</w:t>
      </w:r>
      <w:bookmarkEnd w:id="59"/>
    </w:p>
    <w:p>
      <w:pPr>
        <w:pStyle w:val="3"/>
        <w:rPr>
          <w:color w:val="auto"/>
          <w:highlight w:val="none"/>
        </w:rPr>
      </w:pPr>
      <w:bookmarkStart w:id="60" w:name="_Toc27646"/>
      <w:r>
        <w:rPr>
          <w:rFonts w:hint="eastAsia"/>
          <w:color w:val="auto"/>
          <w:highlight w:val="none"/>
        </w:rPr>
        <w:t>第</w:t>
      </w:r>
      <w:r>
        <w:rPr>
          <w:rFonts w:hint="eastAsia"/>
          <w:color w:val="auto"/>
          <w:highlight w:val="none"/>
          <w:lang w:val="en-US" w:eastAsia="zh-CN"/>
        </w:rPr>
        <w:t>二十</w:t>
      </w:r>
      <w:r>
        <w:rPr>
          <w:rFonts w:hint="eastAsia"/>
          <w:color w:val="auto"/>
          <w:highlight w:val="none"/>
        </w:rPr>
        <w:t>条：智慧燃气规划</w:t>
      </w:r>
      <w:bookmarkEnd w:id="60"/>
    </w:p>
    <w:p>
      <w:pPr>
        <w:ind w:firstLine="560" w:firstLineChars="20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在智慧城市的大背景下，燃气企业积极进行智慧燃气建设，统筹应用和资源配置，推进信息技术广泛运用，加快业务智能化转型。探索面向云计算、大数据、物联网与新一代信息技术在燃气企业生产、经营、服务等场景的落地应用。</w:t>
      </w:r>
    </w:p>
    <w:p>
      <w:pPr>
        <w:ind w:firstLine="560" w:firstLineChars="20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以降低企业成本，提高运行效率，降低运营风险为目标，本着横向协同、纵向贯通、全面整合、基础升级、技术领先的五大原则，以网络技术、管理平台、云计算、互联网+、大数据等信息技术为推进要素，构建燃气企业信息化管理能力，推进信息化整体建设；基于信息化战略，通过业务分析和信息化现状分析，规划燃气企业的应用架构和技术架构，指导应用系统的实施和技术架构的部署，实现对业务的支撑。</w:t>
      </w:r>
    </w:p>
    <w:p>
      <w:pPr>
        <w:ind w:firstLine="560" w:firstLineChars="20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随着云架构取代传统IT架构的趋势，更好地促进各类信息技术在企业中的普及应用，从而加速企业IT基础设施更新发展。利用云平台专业的运维能力，节省硬件和软件费用，减少人员成本，降低运维费用和运维压力。</w:t>
      </w:r>
    </w:p>
    <w:p>
      <w:pPr>
        <w:ind w:firstLine="560" w:firstLineChars="20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在生产运行方面，围绕建设智慧燃气和带动产业发展的总体目标，形成</w:t>
      </w:r>
      <w:r>
        <w:rPr>
          <w:rFonts w:hint="eastAsia" w:ascii="Times New Roman" w:hAnsi="Times New Roman" w:cs="Times New Roman"/>
          <w:color w:val="auto"/>
          <w:sz w:val="28"/>
          <w:szCs w:val="28"/>
          <w:highlight w:val="none"/>
          <w:lang w:eastAsia="zh-CN"/>
        </w:rPr>
        <w:t>“</w:t>
      </w:r>
      <w:r>
        <w:rPr>
          <w:rFonts w:ascii="Times New Roman" w:hAnsi="Times New Roman" w:cs="Times New Roman"/>
          <w:color w:val="auto"/>
          <w:sz w:val="28"/>
          <w:szCs w:val="28"/>
          <w:highlight w:val="none"/>
        </w:rPr>
        <w:t>基础设施统筹、智慧应用为主、标杆形象引领</w:t>
      </w:r>
      <w:r>
        <w:rPr>
          <w:rFonts w:hint="eastAsia" w:ascii="Times New Roman" w:hAnsi="Times New Roman" w:cs="Times New Roman"/>
          <w:color w:val="auto"/>
          <w:sz w:val="28"/>
          <w:szCs w:val="28"/>
          <w:highlight w:val="none"/>
          <w:lang w:eastAsia="zh-CN"/>
        </w:rPr>
        <w:t>”</w:t>
      </w:r>
      <w:r>
        <w:rPr>
          <w:rFonts w:ascii="Times New Roman" w:hAnsi="Times New Roman" w:cs="Times New Roman"/>
          <w:color w:val="auto"/>
          <w:sz w:val="28"/>
          <w:szCs w:val="28"/>
          <w:highlight w:val="none"/>
        </w:rPr>
        <w:t>的崭新格局，实现架构合理、技术领先、体系完备、应用提升、效率提高、资金节约，构建以管网采集自动化、功能一体化、业务集成化、管理智能智慧化为核心的全新一代智慧燃气管网生产监控调度体系。实现燃气管网输配过程和调度管理的自动化和现代化，建设由调控中心、现场站控系统、通信系统等组成的燃气管网SCADA系统，全面、实时掌握系统运行参数和管网运行工况，有效解决供需矛盾，满足燃气供给需要。实现管网供-输-用全侧一体化综合调度管理功能，通过数字化、智能化技术手段，通过集中的一体化平台，优化多气源、大型管网的运行调度，实现在计划、调度、跟踪、监控、审核、指挥等多方面的数字化、流程化管理，提供规范、安全、高效、便捷的互动交流和服务，加强生产调度在合理计划、估算管存、精确计量、平衡供销、安全应急等方面的能力，提升调度中主总体调度、效率、质量和安全处置能力、调控手段。整合燃气全业务数据及信息进行融合、拓展，形成</w:t>
      </w:r>
      <w:r>
        <w:rPr>
          <w:rFonts w:hint="eastAsia" w:ascii="Times New Roman" w:hAnsi="Times New Roman" w:cs="Times New Roman"/>
          <w:color w:val="auto"/>
          <w:sz w:val="28"/>
          <w:szCs w:val="28"/>
          <w:highlight w:val="none"/>
          <w:lang w:eastAsia="zh-CN"/>
        </w:rPr>
        <w:t>“</w:t>
      </w:r>
      <w:r>
        <w:rPr>
          <w:rFonts w:ascii="Times New Roman" w:hAnsi="Times New Roman" w:cs="Times New Roman"/>
          <w:color w:val="auto"/>
          <w:sz w:val="28"/>
          <w:szCs w:val="28"/>
          <w:highlight w:val="none"/>
        </w:rPr>
        <w:t>一张图</w:t>
      </w:r>
      <w:r>
        <w:rPr>
          <w:rFonts w:hint="eastAsia" w:ascii="Times New Roman" w:hAnsi="Times New Roman" w:cs="Times New Roman"/>
          <w:color w:val="auto"/>
          <w:sz w:val="28"/>
          <w:szCs w:val="28"/>
          <w:highlight w:val="none"/>
          <w:lang w:eastAsia="zh-CN"/>
        </w:rPr>
        <w:t>”</w:t>
      </w:r>
      <w:r>
        <w:rPr>
          <w:rFonts w:ascii="Times New Roman" w:hAnsi="Times New Roman" w:cs="Times New Roman"/>
          <w:color w:val="auto"/>
          <w:sz w:val="28"/>
          <w:szCs w:val="28"/>
          <w:highlight w:val="none"/>
        </w:rPr>
        <w:t>，实现生产、输配、运营服务业务系统的数据信息变孤立或离散的分析为大数据综合分析，变数据孤立为数据采集和综合集成，提升业务数据核心价值，实现管理精细化要求，实现业务应用深化，为经营决策提供强有力支持。实现统一信息接报、自动化研判与诊断分析、集中调度指挥、分级指令下达及响应等，实现实时、安全、完整、高效的闭环管理，促使管理模式的变革</w:t>
      </w:r>
      <w:r>
        <w:rPr>
          <w:rFonts w:hint="eastAsia" w:ascii="Times New Roman" w:hAnsi="Times New Roman" w:cs="Times New Roman"/>
          <w:color w:val="auto"/>
          <w:sz w:val="28"/>
          <w:szCs w:val="28"/>
          <w:highlight w:val="none"/>
          <w:lang w:eastAsia="zh-CN"/>
        </w:rPr>
        <w:t>，</w:t>
      </w:r>
      <w:r>
        <w:rPr>
          <w:rFonts w:ascii="Times New Roman" w:hAnsi="Times New Roman" w:cs="Times New Roman"/>
          <w:color w:val="auto"/>
          <w:sz w:val="28"/>
          <w:szCs w:val="28"/>
          <w:highlight w:val="none"/>
        </w:rPr>
        <w:t>使管网生产运行变被动管理为主动预防、变人工协调为系统自动智能化分析，提升管网科学、安全运行管理效率。</w:t>
      </w:r>
    </w:p>
    <w:p>
      <w:pPr>
        <w:ind w:firstLine="560" w:firstLineChars="20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未来三到五年规划将构建包含管网运行、工程施工、抢险维修、生产调度、气源管理等的综合生产运行平台。同时加快推进ERP系统的建设，整合人力资源、财务管理、供应链管理、合同管理、工程管理、设备管理等的运营管理平台。建设商务智能分析、投资管理、全面计划和预算、运营绩效等的战略管控平台。进一步消除信息孤岛、打通数据壁垒。降低企业成本，提高运行效率，降低运营风险，践行信息化推动企业变革，燃气企业由供应型、服务型企业向智慧型企业转变，打造横向协调、纵向贯通、技术领先，基于物联网、大数据、云计算的数字化的智慧燃气平台。</w:t>
      </w:r>
    </w:p>
    <w:p>
      <w:pPr>
        <w:ind w:firstLine="1124" w:firstLineChars="400"/>
        <w:rPr>
          <w:rFonts w:ascii="Times New Roman" w:hAnsi="Times New Roman" w:cs="Times New Roman"/>
          <w:b/>
          <w:bCs/>
          <w:color w:val="auto"/>
          <w:sz w:val="28"/>
          <w:szCs w:val="28"/>
          <w:highlight w:val="none"/>
        </w:rPr>
      </w:pPr>
      <w:r>
        <w:rPr>
          <w:rFonts w:hint="eastAsia" w:ascii="Times New Roman" w:hAnsi="Times New Roman" w:cs="Times New Roman"/>
          <w:b/>
          <w:bCs/>
          <w:color w:val="auto"/>
          <w:sz w:val="28"/>
          <w:szCs w:val="28"/>
          <w:highlight w:val="none"/>
        </w:rPr>
        <w:t>“</w:t>
      </w:r>
      <w:r>
        <w:rPr>
          <w:rFonts w:ascii="Times New Roman" w:hAnsi="Times New Roman" w:cs="Times New Roman"/>
          <w:b/>
          <w:bCs/>
          <w:color w:val="auto"/>
          <w:sz w:val="28"/>
          <w:szCs w:val="28"/>
          <w:highlight w:val="none"/>
        </w:rPr>
        <w:t>规划</w:t>
      </w:r>
      <w:r>
        <w:rPr>
          <w:rFonts w:hint="eastAsia" w:ascii="Times New Roman" w:hAnsi="Times New Roman" w:cs="Times New Roman"/>
          <w:b/>
          <w:bCs/>
          <w:color w:val="auto"/>
          <w:sz w:val="28"/>
          <w:szCs w:val="28"/>
          <w:highlight w:val="none"/>
        </w:rPr>
        <w:t>”</w:t>
      </w:r>
      <w:r>
        <w:rPr>
          <w:rFonts w:ascii="Times New Roman" w:hAnsi="Times New Roman" w:cs="Times New Roman"/>
          <w:b/>
          <w:bCs/>
          <w:color w:val="auto"/>
          <w:sz w:val="28"/>
          <w:szCs w:val="28"/>
          <w:highlight w:val="none"/>
        </w:rPr>
        <w:t>期间智慧燃气具体规划目标如下：</w:t>
      </w:r>
    </w:p>
    <w:p>
      <w:pPr>
        <w:ind w:firstLine="560" w:firstLineChars="20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1、建立政府和企业级两层智慧化燃气管道安全管理系统平台；</w:t>
      </w:r>
    </w:p>
    <w:p>
      <w:pPr>
        <w:ind w:firstLine="560" w:firstLineChars="200"/>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lang w:val="en-US" w:eastAsia="zh-CN"/>
        </w:rPr>
        <w:t>2</w:t>
      </w:r>
      <w:r>
        <w:rPr>
          <w:rFonts w:ascii="Times New Roman" w:hAnsi="Times New Roman" w:cs="Times New Roman"/>
          <w:color w:val="auto"/>
          <w:sz w:val="28"/>
          <w:szCs w:val="28"/>
          <w:highlight w:val="none"/>
        </w:rPr>
        <w:t>、输配管网GIS覆盖率100% ；</w:t>
      </w:r>
    </w:p>
    <w:p>
      <w:pPr>
        <w:ind w:firstLine="560" w:firstLineChars="200"/>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lang w:val="en-US" w:eastAsia="zh-CN"/>
        </w:rPr>
        <w:t>3</w:t>
      </w:r>
      <w:r>
        <w:rPr>
          <w:rFonts w:ascii="Times New Roman" w:hAnsi="Times New Roman" w:cs="Times New Roman"/>
          <w:color w:val="auto"/>
          <w:sz w:val="28"/>
          <w:szCs w:val="28"/>
          <w:highlight w:val="none"/>
        </w:rPr>
        <w:t>、</w:t>
      </w:r>
      <w:r>
        <w:rPr>
          <w:rFonts w:hint="eastAsia" w:ascii="Times New Roman" w:hAnsi="Times New Roman" w:cs="Times New Roman"/>
          <w:color w:val="0000FF"/>
          <w:sz w:val="28"/>
          <w:szCs w:val="28"/>
          <w:highlight w:val="none"/>
          <w:lang w:val="en-US" w:eastAsia="zh-CN"/>
        </w:rPr>
        <w:t>分输站</w:t>
      </w:r>
      <w:r>
        <w:rPr>
          <w:rFonts w:ascii="Times New Roman" w:hAnsi="Times New Roman" w:cs="Times New Roman"/>
          <w:color w:val="0000FF"/>
          <w:sz w:val="28"/>
          <w:szCs w:val="28"/>
          <w:highlight w:val="none"/>
        </w:rPr>
        <w:t>、</w:t>
      </w:r>
      <w:r>
        <w:rPr>
          <w:rFonts w:hint="eastAsia" w:ascii="Times New Roman" w:hAnsi="Times New Roman" w:cs="Times New Roman"/>
          <w:color w:val="0000FF"/>
          <w:sz w:val="28"/>
          <w:szCs w:val="28"/>
          <w:highlight w:val="none"/>
          <w:lang w:val="en-US" w:eastAsia="zh-CN"/>
        </w:rPr>
        <w:t>调压站、</w:t>
      </w:r>
      <w:r>
        <w:rPr>
          <w:rFonts w:ascii="Times New Roman" w:hAnsi="Times New Roman" w:cs="Times New Roman"/>
          <w:color w:val="0000FF"/>
          <w:sz w:val="28"/>
          <w:szCs w:val="28"/>
          <w:highlight w:val="none"/>
        </w:rPr>
        <w:t>天然气储配站等</w:t>
      </w:r>
      <w:r>
        <w:rPr>
          <w:rFonts w:hint="eastAsia" w:ascii="Times New Roman" w:hAnsi="Times New Roman" w:cs="Times New Roman"/>
          <w:color w:val="0000FF"/>
          <w:sz w:val="28"/>
          <w:szCs w:val="28"/>
          <w:highlight w:val="none"/>
          <w:lang w:val="en-US" w:eastAsia="zh-CN"/>
        </w:rPr>
        <w:t>站控系统</w:t>
      </w:r>
      <w:r>
        <w:rPr>
          <w:rFonts w:ascii="Times New Roman" w:hAnsi="Times New Roman" w:cs="Times New Roman"/>
          <w:color w:val="0000FF"/>
          <w:sz w:val="28"/>
          <w:szCs w:val="28"/>
          <w:highlight w:val="none"/>
        </w:rPr>
        <w:t>数据远传及远程控制达到100%</w:t>
      </w:r>
      <w:r>
        <w:rPr>
          <w:rFonts w:hint="eastAsia" w:ascii="Times New Roman" w:hAnsi="Times New Roman" w:cs="Times New Roman"/>
          <w:color w:val="0000FF"/>
          <w:sz w:val="28"/>
          <w:szCs w:val="28"/>
          <w:highlight w:val="none"/>
          <w:lang w:eastAsia="zh-CN"/>
        </w:rPr>
        <w:t>。</w:t>
      </w:r>
    </w:p>
    <w:p>
      <w:pPr>
        <w:ind w:firstLine="560" w:firstLineChars="20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依据智慧燃气信息化战略规划，按照项目引进路线，根据应用架构、技术架构、数据架构、信息化治理的规划，分解、落实</w:t>
      </w:r>
      <w:r>
        <w:rPr>
          <w:rFonts w:hint="eastAsia" w:ascii="Times New Roman" w:hAnsi="Times New Roman" w:cs="Times New Roman"/>
          <w:color w:val="auto"/>
          <w:sz w:val="28"/>
          <w:szCs w:val="28"/>
          <w:highlight w:val="none"/>
          <w:lang w:eastAsia="zh-CN"/>
        </w:rPr>
        <w:t>到</w:t>
      </w:r>
      <w:r>
        <w:rPr>
          <w:rFonts w:ascii="Times New Roman" w:hAnsi="Times New Roman" w:cs="Times New Roman"/>
          <w:color w:val="auto"/>
          <w:sz w:val="28"/>
          <w:szCs w:val="28"/>
          <w:highlight w:val="none"/>
        </w:rPr>
        <w:t>具体可操作的多个重点信息化项目，以项目的形式推进信息化规划蓝图的实施落地。</w:t>
      </w:r>
    </w:p>
    <w:p>
      <w:pPr>
        <w:rPr>
          <w:rFonts w:hint="default" w:ascii="Times New Roman" w:hAnsi="Times New Roman" w:cs="Times New Roman"/>
          <w:color w:val="auto"/>
          <w:sz w:val="28"/>
          <w:szCs w:val="28"/>
          <w:highlight w:val="none"/>
          <w:lang w:val="en-US" w:eastAsia="zh-CN"/>
        </w:rPr>
      </w:pPr>
    </w:p>
    <w:p>
      <w:pPr>
        <w:pStyle w:val="2"/>
        <w:rPr>
          <w:color w:val="auto"/>
          <w:highlight w:val="none"/>
        </w:rPr>
      </w:pPr>
      <w:bookmarkStart w:id="61" w:name="_Toc18663"/>
      <w:r>
        <w:rPr>
          <w:rFonts w:hint="eastAsia"/>
          <w:color w:val="auto"/>
          <w:highlight w:val="none"/>
        </w:rPr>
        <w:t>第</w:t>
      </w:r>
      <w:r>
        <w:rPr>
          <w:rFonts w:hint="eastAsia"/>
          <w:color w:val="auto"/>
          <w:highlight w:val="none"/>
          <w:lang w:val="en-US" w:eastAsia="zh-CN"/>
        </w:rPr>
        <w:t>六</w:t>
      </w:r>
      <w:r>
        <w:rPr>
          <w:rFonts w:hint="eastAsia"/>
          <w:color w:val="auto"/>
          <w:highlight w:val="none"/>
        </w:rPr>
        <w:t xml:space="preserve">章 </w:t>
      </w:r>
      <w:r>
        <w:rPr>
          <w:color w:val="auto"/>
          <w:highlight w:val="none"/>
        </w:rPr>
        <w:t xml:space="preserve"> </w:t>
      </w:r>
      <w:r>
        <w:rPr>
          <w:rFonts w:hint="eastAsia"/>
          <w:color w:val="auto"/>
          <w:highlight w:val="none"/>
        </w:rPr>
        <w:t>环保</w:t>
      </w:r>
      <w:r>
        <w:rPr>
          <w:rFonts w:hint="eastAsia"/>
          <w:color w:val="auto"/>
          <w:highlight w:val="none"/>
          <w:lang w:val="en-US" w:eastAsia="zh-CN"/>
        </w:rPr>
        <w:t>与节能</w:t>
      </w:r>
      <w:r>
        <w:rPr>
          <w:rFonts w:hint="eastAsia"/>
          <w:color w:val="auto"/>
          <w:highlight w:val="none"/>
        </w:rPr>
        <w:t>规划</w:t>
      </w:r>
      <w:bookmarkEnd w:id="61"/>
    </w:p>
    <w:p>
      <w:pPr>
        <w:pStyle w:val="3"/>
        <w:rPr>
          <w:rFonts w:hint="default" w:eastAsia="宋体"/>
          <w:color w:val="auto"/>
          <w:highlight w:val="none"/>
          <w:lang w:val="en-US" w:eastAsia="zh-CN"/>
        </w:rPr>
      </w:pPr>
      <w:bookmarkStart w:id="62" w:name="_Toc13563"/>
      <w:r>
        <w:rPr>
          <w:rFonts w:hint="eastAsia"/>
          <w:color w:val="auto"/>
          <w:highlight w:val="none"/>
        </w:rPr>
        <w:t>第二十</w:t>
      </w:r>
      <w:r>
        <w:rPr>
          <w:rFonts w:hint="eastAsia"/>
          <w:color w:val="auto"/>
          <w:highlight w:val="none"/>
          <w:lang w:val="en-US" w:eastAsia="zh-CN"/>
        </w:rPr>
        <w:t>一</w:t>
      </w:r>
      <w:r>
        <w:rPr>
          <w:rFonts w:hint="eastAsia"/>
          <w:color w:val="auto"/>
          <w:highlight w:val="none"/>
        </w:rPr>
        <w:t>条：</w:t>
      </w:r>
      <w:r>
        <w:rPr>
          <w:rFonts w:hint="eastAsia"/>
          <w:color w:val="auto"/>
          <w:highlight w:val="none"/>
          <w:lang w:val="en-US" w:eastAsia="zh-CN"/>
        </w:rPr>
        <w:t>环保规划</w:t>
      </w:r>
      <w:bookmarkEnd w:id="62"/>
    </w:p>
    <w:p>
      <w:pPr>
        <w:ind w:firstLine="560" w:firstLineChars="200"/>
        <w:jc w:val="both"/>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val="en-US" w:eastAsia="zh-CN" w:bidi="th-TH"/>
        </w:rPr>
        <w:t>1、</w:t>
      </w:r>
      <w:r>
        <w:rPr>
          <w:rFonts w:ascii="Times New Roman" w:hAnsi="Times New Roman" w:cs="Times New Roman"/>
          <w:color w:val="auto"/>
          <w:sz w:val="28"/>
          <w:szCs w:val="28"/>
          <w:highlight w:val="none"/>
          <w:lang w:bidi="th-TH"/>
        </w:rPr>
        <w:t>为了防止噪声，设计时调压设备应选用低噪声先进产品，在门站和调压站的调压器出口处设置消音器，加气站压缩机在封闭的撬装箱体中运行，且压缩机应采用减振和降低噪声措施，使噪声降至国家规定范围内。在站区周围做绿化以减少噪声的传播。</w:t>
      </w:r>
    </w:p>
    <w:p>
      <w:pPr>
        <w:ind w:firstLine="560" w:firstLineChars="200"/>
        <w:jc w:val="both"/>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val="en-US" w:eastAsia="zh-CN" w:bidi="th-TH"/>
        </w:rPr>
        <w:t>2、</w:t>
      </w:r>
      <w:r>
        <w:rPr>
          <w:rFonts w:ascii="Times New Roman" w:hAnsi="Times New Roman" w:cs="Times New Roman"/>
          <w:color w:val="auto"/>
          <w:sz w:val="28"/>
          <w:szCs w:val="28"/>
          <w:highlight w:val="none"/>
          <w:lang w:bidi="th-TH"/>
        </w:rPr>
        <w:t>天然气在完全封闭的系统中运行，在正常运行中不允许有任何泄漏。因此在设计和施工中确保管道、阀门质量是防止产生气体泄漏污染的最根本的方法。另外提高管理水平，采用先进的仪表控制系统，随时掌握整个系统的运行工况，避免事故状态下的安全放散。设备检修时尽量降低其管道内部压力，使需要放散的气量减到最少。</w:t>
      </w:r>
    </w:p>
    <w:p>
      <w:pPr>
        <w:ind w:firstLine="560" w:firstLineChars="200"/>
        <w:jc w:val="both"/>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val="en-US" w:eastAsia="zh-CN" w:bidi="th-TH"/>
        </w:rPr>
        <w:t>3、</w:t>
      </w:r>
      <w:r>
        <w:rPr>
          <w:rFonts w:ascii="Times New Roman" w:hAnsi="Times New Roman" w:cs="Times New Roman"/>
          <w:color w:val="auto"/>
          <w:sz w:val="28"/>
          <w:szCs w:val="28"/>
          <w:highlight w:val="none"/>
          <w:lang w:bidi="th-TH"/>
        </w:rPr>
        <w:t>本工程中的固体废弃物主要为施工废弃物、更换过滤器时产生少量废渣和场站生活垃圾。施工现场废弃物要做到及时清运。过滤器少量废渣一般主要成分为集尘和氧化铁粉末，根据国内类似天然气场站的调查，废渣可与生活垃圾一同处置。对生活垃圾和更换过滤器时产生的废渣通过在站内设置垃圾存贮点，由市政环卫部门定期收集清运，不会对环境造成不利影响。</w:t>
      </w:r>
    </w:p>
    <w:p>
      <w:pPr>
        <w:ind w:firstLine="560" w:firstLineChars="200"/>
        <w:jc w:val="both"/>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val="en-US" w:eastAsia="zh-CN" w:bidi="th-TH"/>
        </w:rPr>
        <w:t>4、</w:t>
      </w:r>
      <w:r>
        <w:rPr>
          <w:rFonts w:ascii="Times New Roman" w:hAnsi="Times New Roman" w:cs="Times New Roman"/>
          <w:color w:val="auto"/>
          <w:sz w:val="28"/>
          <w:szCs w:val="28"/>
          <w:highlight w:val="none"/>
          <w:lang w:bidi="th-TH"/>
        </w:rPr>
        <w:t>本工程的生活污水经化粪池、隔油池后排到站外排水管道，站内雨水经雨水口、雨水管网有组织外排。生产过程中将定期清理燃气管道的固液混合污物，清理出来的含油污物一般采用桶装统一处理。设备检修可能会有少量污油溢于地面而产生冲洗废水，由于地面上的含油污物极少，同时经大量的冲洗水稀释后使废水中污染物极少，故可汇同雨水排入排水系统。</w:t>
      </w:r>
    </w:p>
    <w:p>
      <w:pPr>
        <w:ind w:firstLine="560" w:firstLineChars="200"/>
        <w:jc w:val="both"/>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val="en-US" w:eastAsia="zh-CN" w:bidi="th-TH"/>
        </w:rPr>
        <w:t>5、</w:t>
      </w:r>
      <w:r>
        <w:rPr>
          <w:rFonts w:ascii="Times New Roman" w:hAnsi="Times New Roman" w:cs="Times New Roman"/>
          <w:color w:val="auto"/>
          <w:sz w:val="28"/>
          <w:szCs w:val="28"/>
          <w:highlight w:val="none"/>
          <w:lang w:bidi="th-TH"/>
        </w:rPr>
        <w:t>加臭装置采用全封闭、自动加臭装置，加臭过程不产生外泄。</w:t>
      </w:r>
    </w:p>
    <w:p>
      <w:pPr>
        <w:ind w:firstLine="560" w:firstLineChars="200"/>
        <w:jc w:val="both"/>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val="en-US" w:eastAsia="zh-CN" w:bidi="th-TH"/>
        </w:rPr>
        <w:t>6、</w:t>
      </w:r>
      <w:r>
        <w:rPr>
          <w:rFonts w:ascii="Times New Roman" w:hAnsi="Times New Roman" w:cs="Times New Roman"/>
          <w:color w:val="auto"/>
          <w:sz w:val="28"/>
          <w:szCs w:val="28"/>
          <w:highlight w:val="none"/>
          <w:lang w:bidi="th-TH"/>
        </w:rPr>
        <w:t>加强绿化：站区内各建、构筑物之间有很大的安全距离，站区周围也有很大的安全缓冲地带，因此利用这样的有利条件可以通过绿化美化站内环境，各场站绿化用地率可以按不小于30％考虑。</w:t>
      </w:r>
    </w:p>
    <w:p>
      <w:pPr>
        <w:ind w:firstLine="560" w:firstLineChars="200"/>
        <w:jc w:val="both"/>
        <w:rPr>
          <w:rFonts w:ascii="Times New Roman" w:hAnsi="Times New Roman"/>
          <w:color w:val="auto"/>
          <w:sz w:val="28"/>
          <w:szCs w:val="28"/>
          <w:highlight w:val="none"/>
          <w:lang w:bidi="th-TH"/>
        </w:rPr>
      </w:pPr>
      <w:r>
        <w:rPr>
          <w:rFonts w:hint="eastAsia" w:ascii="Times New Roman" w:hAnsi="Times New Roman" w:cs="Times New Roman"/>
          <w:color w:val="auto"/>
          <w:sz w:val="28"/>
          <w:szCs w:val="28"/>
          <w:highlight w:val="none"/>
          <w:lang w:val="en-US" w:eastAsia="zh-CN" w:bidi="th-TH"/>
        </w:rPr>
        <w:t>7、</w:t>
      </w:r>
      <w:r>
        <w:rPr>
          <w:rFonts w:ascii="Times New Roman" w:hAnsi="Times New Roman" w:cs="Times New Roman"/>
          <w:color w:val="auto"/>
          <w:sz w:val="28"/>
          <w:szCs w:val="28"/>
          <w:highlight w:val="none"/>
          <w:lang w:bidi="th-TH"/>
        </w:rPr>
        <w:t>燃气公司应设有专职环境保护管理机构，负责组织、落实、监督本企业的环境保护工作。</w:t>
      </w:r>
    </w:p>
    <w:p>
      <w:pPr>
        <w:pStyle w:val="3"/>
        <w:rPr>
          <w:rFonts w:hint="eastAsia" w:eastAsia="宋体"/>
          <w:color w:val="auto"/>
          <w:highlight w:val="none"/>
          <w:lang w:eastAsia="zh-CN"/>
        </w:rPr>
      </w:pPr>
      <w:bookmarkStart w:id="63" w:name="_Toc13637"/>
      <w:r>
        <w:rPr>
          <w:rFonts w:hint="eastAsia"/>
          <w:color w:val="auto"/>
          <w:highlight w:val="none"/>
        </w:rPr>
        <w:t>第二十</w:t>
      </w:r>
      <w:r>
        <w:rPr>
          <w:rFonts w:hint="eastAsia"/>
          <w:color w:val="auto"/>
          <w:highlight w:val="none"/>
          <w:lang w:val="en-US" w:eastAsia="zh-CN"/>
        </w:rPr>
        <w:t>二</w:t>
      </w:r>
      <w:r>
        <w:rPr>
          <w:rFonts w:hint="eastAsia"/>
          <w:color w:val="auto"/>
          <w:highlight w:val="none"/>
        </w:rPr>
        <w:t>条：节能</w:t>
      </w:r>
      <w:r>
        <w:rPr>
          <w:rFonts w:hint="eastAsia"/>
          <w:color w:val="auto"/>
          <w:highlight w:val="none"/>
          <w:lang w:val="en-US" w:eastAsia="zh-CN"/>
        </w:rPr>
        <w:t>规划</w:t>
      </w:r>
      <w:bookmarkEnd w:id="63"/>
    </w:p>
    <w:p>
      <w:pPr>
        <w:ind w:firstLine="560" w:firstLineChars="200"/>
        <w:jc w:val="left"/>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val="en-US" w:eastAsia="zh-CN" w:bidi="th-TH"/>
        </w:rPr>
        <w:t>1、</w:t>
      </w:r>
      <w:r>
        <w:rPr>
          <w:rFonts w:ascii="Times New Roman" w:hAnsi="Times New Roman"/>
          <w:color w:val="auto"/>
          <w:sz w:val="28"/>
          <w:szCs w:val="28"/>
          <w:highlight w:val="none"/>
          <w:lang w:bidi="th-TH"/>
        </w:rPr>
        <w:t>充分利用来气压力，降低管道的投资。</w:t>
      </w:r>
    </w:p>
    <w:p>
      <w:pPr>
        <w:ind w:firstLine="560" w:firstLineChars="200"/>
        <w:jc w:val="left"/>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val="en-US" w:eastAsia="zh-CN" w:bidi="th-TH"/>
        </w:rPr>
        <w:t>2、</w:t>
      </w:r>
      <w:r>
        <w:rPr>
          <w:rFonts w:ascii="Times New Roman" w:hAnsi="Times New Roman"/>
          <w:color w:val="auto"/>
          <w:sz w:val="28"/>
          <w:szCs w:val="28"/>
          <w:highlight w:val="none"/>
          <w:lang w:bidi="th-TH"/>
        </w:rPr>
        <w:t>加气站采用高效率的压缩机，减少压缩过程中电能的损耗。</w:t>
      </w:r>
    </w:p>
    <w:p>
      <w:pPr>
        <w:ind w:firstLine="560" w:firstLineChars="200"/>
        <w:jc w:val="left"/>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val="en-US" w:eastAsia="zh-CN" w:bidi="th-TH"/>
        </w:rPr>
        <w:t>3、</w:t>
      </w:r>
      <w:r>
        <w:rPr>
          <w:rFonts w:ascii="Times New Roman" w:hAnsi="Times New Roman"/>
          <w:color w:val="auto"/>
          <w:sz w:val="28"/>
          <w:szCs w:val="28"/>
          <w:highlight w:val="none"/>
          <w:lang w:bidi="th-TH"/>
        </w:rPr>
        <w:t>数据监控节能建立SCADA系统对供气系统实施优化运行管理和监测，通过系统对燃气输配系统的监测、监控功能，能</w:t>
      </w:r>
      <w:r>
        <w:rPr>
          <w:rFonts w:hint="eastAsia" w:ascii="Times New Roman" w:hAnsi="Times New Roman"/>
          <w:color w:val="auto"/>
          <w:sz w:val="28"/>
          <w:szCs w:val="28"/>
          <w:highlight w:val="none"/>
          <w:lang w:eastAsia="zh-CN" w:bidi="th-TH"/>
        </w:rPr>
        <w:t>快速反应</w:t>
      </w:r>
      <w:r>
        <w:rPr>
          <w:rFonts w:ascii="Times New Roman" w:hAnsi="Times New Roman"/>
          <w:color w:val="auto"/>
          <w:sz w:val="28"/>
          <w:szCs w:val="28"/>
          <w:highlight w:val="none"/>
          <w:lang w:bidi="th-TH"/>
        </w:rPr>
        <w:t>系统中出现的事故工况，一旦发生事故，能及时抢险，减少天然气的漏损。</w:t>
      </w:r>
    </w:p>
    <w:p>
      <w:pPr>
        <w:ind w:firstLine="560" w:firstLineChars="200"/>
        <w:jc w:val="left"/>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val="en-US" w:eastAsia="zh-CN" w:bidi="th-TH"/>
        </w:rPr>
        <w:t>4、</w:t>
      </w:r>
      <w:r>
        <w:rPr>
          <w:rFonts w:ascii="Times New Roman" w:hAnsi="Times New Roman"/>
          <w:color w:val="auto"/>
          <w:sz w:val="28"/>
          <w:szCs w:val="28"/>
          <w:highlight w:val="none"/>
          <w:lang w:bidi="th-TH"/>
        </w:rPr>
        <w:t>运行管理节能合理配置劳动定员，调压站建成无人值守站，可减少人员开支和水电消耗。</w:t>
      </w:r>
    </w:p>
    <w:p>
      <w:pPr>
        <w:rPr>
          <w:color w:val="auto"/>
          <w:sz w:val="28"/>
          <w:szCs w:val="28"/>
          <w:highlight w:val="none"/>
        </w:rPr>
      </w:pPr>
    </w:p>
    <w:p>
      <w:pPr>
        <w:pStyle w:val="2"/>
        <w:rPr>
          <w:color w:val="auto"/>
          <w:highlight w:val="none"/>
        </w:rPr>
      </w:pPr>
      <w:bookmarkStart w:id="64" w:name="_Toc16392"/>
      <w:r>
        <w:rPr>
          <w:rFonts w:hint="eastAsia"/>
          <w:color w:val="auto"/>
          <w:highlight w:val="none"/>
        </w:rPr>
        <w:t>第</w:t>
      </w:r>
      <w:r>
        <w:rPr>
          <w:rFonts w:hint="eastAsia"/>
          <w:color w:val="auto"/>
          <w:highlight w:val="none"/>
          <w:lang w:val="en-US" w:eastAsia="zh-CN"/>
        </w:rPr>
        <w:t>七</w:t>
      </w:r>
      <w:r>
        <w:rPr>
          <w:rFonts w:hint="eastAsia"/>
          <w:color w:val="auto"/>
          <w:highlight w:val="none"/>
        </w:rPr>
        <w:t xml:space="preserve">章 </w:t>
      </w:r>
      <w:r>
        <w:rPr>
          <w:color w:val="auto"/>
          <w:highlight w:val="none"/>
        </w:rPr>
        <w:t xml:space="preserve"> </w:t>
      </w:r>
      <w:r>
        <w:rPr>
          <w:rFonts w:hint="eastAsia"/>
          <w:color w:val="auto"/>
          <w:highlight w:val="none"/>
        </w:rPr>
        <w:t>消防规划</w:t>
      </w:r>
      <w:bookmarkEnd w:id="64"/>
    </w:p>
    <w:p>
      <w:pPr>
        <w:pStyle w:val="3"/>
        <w:rPr>
          <w:rFonts w:hint="default" w:eastAsia="宋体"/>
          <w:color w:val="auto"/>
          <w:highlight w:val="none"/>
          <w:lang w:val="en-US" w:eastAsia="zh-CN"/>
        </w:rPr>
      </w:pPr>
      <w:bookmarkStart w:id="65" w:name="_Toc12616"/>
      <w:r>
        <w:rPr>
          <w:rFonts w:hint="eastAsia"/>
          <w:color w:val="auto"/>
          <w:highlight w:val="none"/>
        </w:rPr>
        <w:t>第二十</w:t>
      </w:r>
      <w:r>
        <w:rPr>
          <w:rFonts w:hint="eastAsia"/>
          <w:color w:val="auto"/>
          <w:highlight w:val="none"/>
          <w:lang w:val="en-US" w:eastAsia="zh-CN"/>
        </w:rPr>
        <w:t>三</w:t>
      </w:r>
      <w:r>
        <w:rPr>
          <w:rFonts w:hint="eastAsia"/>
          <w:color w:val="auto"/>
          <w:highlight w:val="none"/>
        </w:rPr>
        <w:t>条：燃气场站</w:t>
      </w:r>
      <w:r>
        <w:rPr>
          <w:rFonts w:hint="eastAsia"/>
          <w:color w:val="auto"/>
          <w:highlight w:val="none"/>
          <w:lang w:val="en-US" w:eastAsia="zh-CN"/>
        </w:rPr>
        <w:t>系统消防规划</w:t>
      </w:r>
      <w:bookmarkEnd w:id="65"/>
    </w:p>
    <w:p>
      <w:pPr>
        <w:ind w:firstLine="560" w:firstLineChars="200"/>
        <w:rPr>
          <w:rFonts w:ascii="Times New Roman" w:hAnsi="Times New Roman" w:cs="Times New Roman"/>
          <w:color w:val="0000FF"/>
          <w:sz w:val="28"/>
          <w:szCs w:val="28"/>
          <w:highlight w:val="none"/>
          <w:lang w:bidi="th-TH"/>
        </w:rPr>
      </w:pPr>
      <w:r>
        <w:rPr>
          <w:rFonts w:ascii="Times New Roman" w:hAnsi="Times New Roman" w:cs="Times New Roman"/>
          <w:color w:val="0000FF"/>
          <w:sz w:val="28"/>
          <w:szCs w:val="28"/>
          <w:highlight w:val="none"/>
          <w:lang w:bidi="th-TH"/>
        </w:rPr>
        <w:t>储配站</w:t>
      </w:r>
      <w:r>
        <w:rPr>
          <w:rFonts w:hint="eastAsia" w:ascii="Times New Roman" w:hAnsi="Times New Roman" w:cs="Times New Roman"/>
          <w:color w:val="0000FF"/>
          <w:sz w:val="28"/>
          <w:szCs w:val="28"/>
          <w:highlight w:val="none"/>
          <w:lang w:val="en-US" w:eastAsia="zh-CN" w:bidi="th-TH"/>
        </w:rPr>
        <w:t>等</w:t>
      </w:r>
      <w:r>
        <w:rPr>
          <w:rFonts w:ascii="Times New Roman" w:hAnsi="Times New Roman" w:cs="Times New Roman"/>
          <w:color w:val="0000FF"/>
          <w:sz w:val="28"/>
          <w:szCs w:val="28"/>
          <w:highlight w:val="none"/>
          <w:lang w:bidi="th-TH"/>
        </w:rPr>
        <w:t>甲类生产场站，属于火灾爆炸危险场所。与周围建筑物的安全间距及站内总图布置必须</w:t>
      </w:r>
      <w:r>
        <w:rPr>
          <w:rFonts w:hint="eastAsia" w:ascii="Times New Roman" w:hAnsi="Times New Roman" w:cs="Times New Roman"/>
          <w:color w:val="0000FF"/>
          <w:sz w:val="28"/>
          <w:szCs w:val="28"/>
          <w:highlight w:val="none"/>
          <w:lang w:eastAsia="zh-CN" w:bidi="th-TH"/>
        </w:rPr>
        <w:t>符合</w:t>
      </w:r>
      <w:r>
        <w:rPr>
          <w:rFonts w:ascii="Times New Roman" w:hAnsi="Times New Roman" w:cs="Times New Roman"/>
          <w:color w:val="0000FF"/>
          <w:sz w:val="28"/>
          <w:szCs w:val="28"/>
          <w:highlight w:val="none"/>
          <w:lang w:bidi="th-TH"/>
        </w:rPr>
        <w:t>《建筑设计防火规范》</w:t>
      </w:r>
      <w:r>
        <w:rPr>
          <w:rFonts w:hint="eastAsia" w:ascii="Times New Roman" w:hAnsi="Times New Roman" w:cs="Times New Roman"/>
          <w:color w:val="0000FF"/>
          <w:sz w:val="28"/>
          <w:szCs w:val="28"/>
          <w:highlight w:val="none"/>
          <w:lang w:val="en-US" w:eastAsia="zh-CN" w:bidi="th-TH"/>
        </w:rPr>
        <w:t>和</w:t>
      </w:r>
      <w:r>
        <w:rPr>
          <w:rFonts w:ascii="Times New Roman" w:hAnsi="Times New Roman" w:cs="Times New Roman"/>
          <w:color w:val="0000FF"/>
          <w:sz w:val="28"/>
          <w:szCs w:val="28"/>
          <w:highlight w:val="none"/>
          <w:lang w:bidi="th-TH"/>
        </w:rPr>
        <w:t>《城镇燃气设计规范》的规定。站内具有火灾爆炸危险性建、构筑物耐火等级不低于《建筑设计防火规范》规定的二级，建筑物结构型式采用钢筋混凝土框架结构，设置足够的泄压面积，封闭式建筑物采用机械通风。</w:t>
      </w:r>
    </w:p>
    <w:p>
      <w:pPr>
        <w:pStyle w:val="3"/>
        <w:rPr>
          <w:rFonts w:hint="default" w:eastAsia="宋体"/>
          <w:color w:val="auto"/>
          <w:highlight w:val="none"/>
          <w:lang w:val="en-US" w:eastAsia="zh-CN"/>
        </w:rPr>
      </w:pPr>
      <w:bookmarkStart w:id="66" w:name="_Toc19358"/>
      <w:r>
        <w:rPr>
          <w:rFonts w:hint="eastAsia"/>
          <w:color w:val="auto"/>
          <w:highlight w:val="none"/>
        </w:rPr>
        <w:t>第二十</w:t>
      </w:r>
      <w:r>
        <w:rPr>
          <w:rFonts w:hint="eastAsia"/>
          <w:color w:val="auto"/>
          <w:highlight w:val="none"/>
          <w:lang w:val="en-US" w:eastAsia="zh-CN"/>
        </w:rPr>
        <w:t>四</w:t>
      </w:r>
      <w:r>
        <w:rPr>
          <w:rFonts w:hint="eastAsia"/>
          <w:color w:val="auto"/>
          <w:highlight w:val="none"/>
        </w:rPr>
        <w:t>条：输配管网系统</w:t>
      </w:r>
      <w:r>
        <w:rPr>
          <w:rFonts w:hint="eastAsia"/>
          <w:color w:val="auto"/>
          <w:highlight w:val="none"/>
          <w:lang w:val="en-US" w:eastAsia="zh-CN"/>
        </w:rPr>
        <w:t>消防规划</w:t>
      </w:r>
      <w:bookmarkEnd w:id="66"/>
    </w:p>
    <w:p>
      <w:pPr>
        <w:ind w:firstLine="560" w:firstLineChars="200"/>
        <w:rPr>
          <w:rFonts w:ascii="Times New Roman" w:hAnsi="Times New Roman" w:cs="Times New Roman"/>
          <w:color w:val="0000FF"/>
          <w:sz w:val="28"/>
          <w:szCs w:val="28"/>
          <w:highlight w:val="none"/>
          <w:lang w:bidi="th-TH"/>
        </w:rPr>
      </w:pPr>
      <w:r>
        <w:rPr>
          <w:rFonts w:ascii="Times New Roman" w:hAnsi="Times New Roman" w:cs="Times New Roman"/>
          <w:color w:val="0000FF"/>
          <w:sz w:val="28"/>
          <w:szCs w:val="28"/>
          <w:highlight w:val="none"/>
          <w:lang w:bidi="th-TH"/>
        </w:rPr>
        <w:t>1、城市燃气输配系统采用SCADA系统，调度中心设置在</w:t>
      </w:r>
      <w:r>
        <w:rPr>
          <w:rFonts w:hint="eastAsia" w:ascii="Times New Roman" w:hAnsi="Times New Roman" w:cs="Times New Roman"/>
          <w:color w:val="0000FF"/>
          <w:sz w:val="28"/>
          <w:szCs w:val="28"/>
          <w:highlight w:val="none"/>
          <w:lang w:val="en-US" w:eastAsia="zh-CN" w:bidi="th-TH"/>
        </w:rPr>
        <w:t>燃气企业的</w:t>
      </w:r>
      <w:r>
        <w:rPr>
          <w:rFonts w:ascii="Times New Roman" w:hAnsi="Times New Roman" w:cs="Times New Roman"/>
          <w:color w:val="0000FF"/>
          <w:sz w:val="28"/>
          <w:szCs w:val="28"/>
          <w:highlight w:val="none"/>
          <w:lang w:bidi="th-TH"/>
        </w:rPr>
        <w:t>公司大楼，储配站、调压站设置远程终端站（RTU），中压管道设置压力监测点，实现输配系统现代化监控管理，保证安全可靠地向全市各类用气供气。</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2、天然气管道是埋在地下的燃气设施，敷设严格</w:t>
      </w:r>
      <w:r>
        <w:rPr>
          <w:rFonts w:hint="eastAsia" w:ascii="Times New Roman" w:hAnsi="Times New Roman" w:cs="Times New Roman"/>
          <w:color w:val="auto"/>
          <w:sz w:val="28"/>
          <w:szCs w:val="28"/>
          <w:highlight w:val="none"/>
          <w:lang w:eastAsia="zh-CN" w:bidi="th-TH"/>
        </w:rPr>
        <w:t>按照</w:t>
      </w:r>
      <w:r>
        <w:rPr>
          <w:rFonts w:ascii="Times New Roman" w:hAnsi="Times New Roman" w:cs="Times New Roman"/>
          <w:color w:val="auto"/>
          <w:sz w:val="28"/>
          <w:szCs w:val="28"/>
          <w:highlight w:val="none"/>
          <w:lang w:bidi="th-TH"/>
        </w:rPr>
        <w:t>《城镇燃气设计规范》及《输气管道工程设计规范》的要求设计与施工，并加强运行管理和巡线检查，及时处理各种漏气事故。</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3、天然气门站设有加臭装置，一旦发生泄漏可及时</w:t>
      </w:r>
      <w:r>
        <w:rPr>
          <w:rFonts w:hint="eastAsia" w:ascii="Times New Roman" w:hAnsi="Times New Roman" w:cs="Times New Roman"/>
          <w:color w:val="auto"/>
          <w:sz w:val="28"/>
          <w:szCs w:val="28"/>
          <w:highlight w:val="none"/>
          <w:lang w:eastAsia="zh-CN" w:bidi="th-TH"/>
        </w:rPr>
        <w:t>察觉</w:t>
      </w:r>
      <w:r>
        <w:rPr>
          <w:rFonts w:ascii="Times New Roman" w:hAnsi="Times New Roman" w:cs="Times New Roman"/>
          <w:color w:val="auto"/>
          <w:sz w:val="28"/>
          <w:szCs w:val="28"/>
          <w:highlight w:val="none"/>
          <w:lang w:bidi="th-TH"/>
        </w:rPr>
        <w:t>，便于采取有效抢救措施。</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4、各类调压器均采用具有超压切断功能的产品，保证管网在正常压力工况下运行。在站内高压和中压管线上设置安全放散阀，以避免由于误操作或其他原因使管道系统超压，放散气集中至总放散管内引至高空放散。</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5、配置管道检漏车和检漏仪，设置专人定时对天然气管线进行巡检，保证管网在完好状况下运行。</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6、管道穿越河流、铁路、桥梁的两端设置阀门，穿越铁路、干道等设置套管、检漏管。管网系统设置分段阀门。</w:t>
      </w:r>
    </w:p>
    <w:p>
      <w:pPr>
        <w:pStyle w:val="3"/>
        <w:bidi w:val="0"/>
        <w:rPr>
          <w:rFonts w:hint="default"/>
          <w:color w:val="0000FF"/>
          <w:lang w:val="en-US" w:eastAsia="zh-CN"/>
        </w:rPr>
      </w:pPr>
      <w:bookmarkStart w:id="67" w:name="_Toc2636"/>
      <w:r>
        <w:rPr>
          <w:rFonts w:hint="eastAsia"/>
          <w:color w:val="0000FF"/>
          <w:lang w:val="en-US" w:eastAsia="zh-CN"/>
        </w:rPr>
        <w:t>第二十五条：公用工程消防规划</w:t>
      </w:r>
      <w:bookmarkEnd w:id="67"/>
    </w:p>
    <w:p>
      <w:pPr>
        <w:ind w:firstLine="560" w:firstLineChars="200"/>
        <w:rPr>
          <w:rFonts w:ascii="Times New Roman" w:hAnsi="Times New Roman" w:cs="Times New Roman"/>
          <w:b w:val="0"/>
          <w:bCs w:val="0"/>
          <w:color w:val="auto"/>
          <w:sz w:val="28"/>
          <w:szCs w:val="28"/>
          <w:highlight w:val="none"/>
          <w:lang w:bidi="th-TH"/>
        </w:rPr>
      </w:pPr>
      <w:bookmarkStart w:id="68" w:name="_Toc18377"/>
      <w:bookmarkStart w:id="69" w:name="_Toc219"/>
      <w:r>
        <w:rPr>
          <w:rFonts w:hint="eastAsia" w:ascii="Times New Roman" w:hAnsi="Times New Roman" w:cs="Times New Roman"/>
          <w:b w:val="0"/>
          <w:bCs w:val="0"/>
          <w:color w:val="auto"/>
          <w:sz w:val="28"/>
          <w:szCs w:val="28"/>
          <w:highlight w:val="none"/>
          <w:lang w:val="en-US" w:eastAsia="zh-CN" w:bidi="th-TH"/>
        </w:rPr>
        <w:t>1、</w:t>
      </w:r>
      <w:r>
        <w:rPr>
          <w:rFonts w:ascii="Times New Roman" w:hAnsi="Times New Roman" w:cs="Times New Roman"/>
          <w:b w:val="0"/>
          <w:bCs w:val="0"/>
          <w:color w:val="auto"/>
          <w:sz w:val="28"/>
          <w:szCs w:val="28"/>
          <w:highlight w:val="none"/>
          <w:lang w:bidi="th-TH"/>
        </w:rPr>
        <w:t>消防给水与排水</w:t>
      </w:r>
      <w:bookmarkEnd w:id="68"/>
      <w:bookmarkEnd w:id="69"/>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LNG储配站的消防水量、消防水池及消防泵房的设置应根据《城镇燃气设计规范》的规定设置。</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门站、储配站内具有火灾和爆炸危险的建、构筑物、液化天然气储罐和工艺装置区应设置小型灭火器。其设置数量除满足《城镇燃气设计规范》外，还应符合《建筑灭火器配置设计规范》的规定。</w:t>
      </w:r>
    </w:p>
    <w:p>
      <w:pPr>
        <w:ind w:firstLine="560" w:firstLineChars="200"/>
        <w:rPr>
          <w:rFonts w:ascii="Times New Roman" w:hAnsi="Times New Roman" w:cs="Times New Roman"/>
          <w:b w:val="0"/>
          <w:bCs w:val="0"/>
          <w:color w:val="auto"/>
          <w:sz w:val="28"/>
          <w:szCs w:val="28"/>
          <w:highlight w:val="none"/>
          <w:lang w:bidi="th-TH"/>
        </w:rPr>
      </w:pPr>
      <w:r>
        <w:rPr>
          <w:rFonts w:hint="eastAsia" w:ascii="Times New Roman" w:hAnsi="Times New Roman" w:cs="Times New Roman"/>
          <w:b w:val="0"/>
          <w:bCs w:val="0"/>
          <w:color w:val="auto"/>
          <w:sz w:val="28"/>
          <w:szCs w:val="28"/>
          <w:highlight w:val="none"/>
          <w:lang w:val="en-US" w:eastAsia="zh-CN" w:bidi="th-TH"/>
        </w:rPr>
        <w:t>2、</w:t>
      </w:r>
      <w:r>
        <w:rPr>
          <w:rFonts w:ascii="Times New Roman" w:hAnsi="Times New Roman" w:cs="Times New Roman"/>
          <w:b w:val="0"/>
          <w:bCs w:val="0"/>
          <w:color w:val="auto"/>
          <w:sz w:val="28"/>
          <w:szCs w:val="28"/>
          <w:highlight w:val="none"/>
          <w:lang w:bidi="th-TH"/>
        </w:rPr>
        <w:t>消防给水与排水</w:t>
      </w:r>
    </w:p>
    <w:p>
      <w:pPr>
        <w:ind w:firstLine="560" w:firstLineChars="200"/>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1</w:t>
      </w:r>
      <w:r>
        <w:rPr>
          <w:rFonts w:hint="eastAsia" w:ascii="Times New Roman" w:hAnsi="Times New Roman" w:cs="Times New Roman"/>
          <w:color w:val="auto"/>
          <w:sz w:val="28"/>
          <w:szCs w:val="28"/>
          <w:highlight w:val="none"/>
          <w:lang w:eastAsia="zh-CN" w:bidi="th-TH"/>
        </w:rPr>
        <w:t>）</w:t>
      </w:r>
      <w:r>
        <w:rPr>
          <w:rFonts w:ascii="Times New Roman" w:hAnsi="Times New Roman" w:cs="Times New Roman"/>
          <w:color w:val="auto"/>
          <w:sz w:val="28"/>
          <w:szCs w:val="28"/>
          <w:highlight w:val="none"/>
          <w:lang w:bidi="th-TH"/>
        </w:rPr>
        <w:t>站内天然气调压计量区、储罐区依据《爆炸危险环境电力装置设计规范》</w:t>
      </w:r>
      <w:r>
        <w:rPr>
          <w:rFonts w:hint="eastAsia" w:ascii="Times New Roman" w:hAnsi="Times New Roman" w:cs="Times New Roman"/>
          <w:color w:val="auto"/>
          <w:sz w:val="28"/>
          <w:szCs w:val="28"/>
          <w:highlight w:val="none"/>
          <w:lang w:eastAsia="zh-CN" w:bidi="th-TH"/>
        </w:rPr>
        <w:t>应为有</w:t>
      </w:r>
      <w:r>
        <w:rPr>
          <w:rFonts w:ascii="Times New Roman" w:hAnsi="Times New Roman" w:cs="Times New Roman"/>
          <w:color w:val="auto"/>
          <w:sz w:val="28"/>
          <w:szCs w:val="28"/>
          <w:highlight w:val="none"/>
          <w:lang w:bidi="th-TH"/>
        </w:rPr>
        <w:t>爆炸危险环境的场所。其电气设计按此规范要求进行设计及选择电气设备，即电力及照明设备选用相应的防爆型。</w:t>
      </w:r>
    </w:p>
    <w:p>
      <w:pPr>
        <w:ind w:firstLine="560" w:firstLineChars="200"/>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2</w:t>
      </w:r>
      <w:r>
        <w:rPr>
          <w:rFonts w:hint="eastAsia" w:ascii="Times New Roman" w:hAnsi="Times New Roman" w:cs="Times New Roman"/>
          <w:color w:val="auto"/>
          <w:sz w:val="28"/>
          <w:szCs w:val="28"/>
          <w:highlight w:val="none"/>
          <w:lang w:eastAsia="zh-CN" w:bidi="th-TH"/>
        </w:rPr>
        <w:t>）</w:t>
      </w:r>
      <w:r>
        <w:rPr>
          <w:rFonts w:ascii="Times New Roman" w:hAnsi="Times New Roman" w:cs="Times New Roman"/>
          <w:color w:val="auto"/>
          <w:sz w:val="28"/>
          <w:szCs w:val="28"/>
          <w:highlight w:val="none"/>
          <w:lang w:bidi="th-TH"/>
        </w:rPr>
        <w:t>站内其他非爆炸危险环境场所的电力及照明设备按其所在环境选用防护型或一般型电气设备。</w:t>
      </w:r>
    </w:p>
    <w:p>
      <w:pPr>
        <w:ind w:firstLine="560" w:firstLineChars="200"/>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3</w:t>
      </w:r>
      <w:r>
        <w:rPr>
          <w:rFonts w:hint="eastAsia" w:ascii="Times New Roman" w:hAnsi="Times New Roman" w:cs="Times New Roman"/>
          <w:color w:val="auto"/>
          <w:sz w:val="28"/>
          <w:szCs w:val="28"/>
          <w:highlight w:val="none"/>
          <w:lang w:eastAsia="zh-CN" w:bidi="th-TH"/>
        </w:rPr>
        <w:t>）</w:t>
      </w:r>
      <w:r>
        <w:rPr>
          <w:rFonts w:ascii="Times New Roman" w:hAnsi="Times New Roman" w:cs="Times New Roman"/>
          <w:color w:val="auto"/>
          <w:sz w:val="28"/>
          <w:szCs w:val="28"/>
          <w:highlight w:val="none"/>
          <w:lang w:bidi="th-TH"/>
        </w:rPr>
        <w:t>站内防雷及接地设计应符合国家《建筑物防雷设计规范》及《工业与民用电力装置的接地设计规范》的要求。</w:t>
      </w:r>
    </w:p>
    <w:p>
      <w:pPr>
        <w:ind w:firstLine="560" w:firstLineChars="200"/>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4</w:t>
      </w:r>
      <w:r>
        <w:rPr>
          <w:rFonts w:hint="eastAsia" w:ascii="Times New Roman" w:hAnsi="Times New Roman" w:cs="Times New Roman"/>
          <w:color w:val="auto"/>
          <w:sz w:val="28"/>
          <w:szCs w:val="28"/>
          <w:highlight w:val="none"/>
          <w:lang w:eastAsia="zh-CN" w:bidi="th-TH"/>
        </w:rPr>
        <w:t>）</w:t>
      </w:r>
      <w:r>
        <w:rPr>
          <w:rFonts w:ascii="Times New Roman" w:hAnsi="Times New Roman" w:cs="Times New Roman"/>
          <w:color w:val="auto"/>
          <w:sz w:val="28"/>
          <w:szCs w:val="28"/>
          <w:highlight w:val="none"/>
          <w:lang w:bidi="th-TH"/>
        </w:rPr>
        <w:t>站内有爆炸危险环境的场所按</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二类</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防雷建筑物的防雷要求设计，其接地电阻不大于10欧。</w:t>
      </w:r>
    </w:p>
    <w:p>
      <w:pPr>
        <w:ind w:firstLine="560" w:firstLineChars="200"/>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5</w:t>
      </w:r>
      <w:r>
        <w:rPr>
          <w:rFonts w:hint="eastAsia" w:ascii="Times New Roman" w:hAnsi="Times New Roman" w:cs="Times New Roman"/>
          <w:color w:val="auto"/>
          <w:sz w:val="28"/>
          <w:szCs w:val="28"/>
          <w:highlight w:val="none"/>
          <w:lang w:eastAsia="zh-CN" w:bidi="th-TH"/>
        </w:rPr>
        <w:t>）</w:t>
      </w:r>
      <w:r>
        <w:rPr>
          <w:rFonts w:ascii="Times New Roman" w:hAnsi="Times New Roman" w:cs="Times New Roman"/>
          <w:color w:val="auto"/>
          <w:sz w:val="28"/>
          <w:szCs w:val="28"/>
          <w:highlight w:val="none"/>
          <w:lang w:bidi="th-TH"/>
        </w:rPr>
        <w:t>站内地上的工艺管线按规范要求均装设静电接地装置。以防止产生静电进而引起火灾。在装置上方设置两个可燃气体浓度检测点，</w:t>
      </w:r>
      <w:r>
        <w:rPr>
          <w:rFonts w:hint="eastAsia" w:ascii="Times New Roman" w:hAnsi="Times New Roman" w:cs="Times New Roman"/>
          <w:color w:val="auto"/>
          <w:sz w:val="28"/>
          <w:szCs w:val="28"/>
          <w:highlight w:val="none"/>
          <w:lang w:eastAsia="zh-CN" w:bidi="th-TH"/>
        </w:rPr>
        <w:t>泄漏</w:t>
      </w:r>
      <w:r>
        <w:rPr>
          <w:rFonts w:ascii="Times New Roman" w:hAnsi="Times New Roman" w:cs="Times New Roman"/>
          <w:color w:val="auto"/>
          <w:sz w:val="28"/>
          <w:szCs w:val="28"/>
          <w:highlight w:val="none"/>
          <w:lang w:bidi="th-TH"/>
        </w:rPr>
        <w:t>的天然气浓度一旦超限即刻声光报警。</w:t>
      </w:r>
    </w:p>
    <w:p>
      <w:pPr>
        <w:pStyle w:val="3"/>
        <w:rPr>
          <w:rFonts w:hint="eastAsia" w:eastAsia="宋体"/>
          <w:color w:val="0000FF"/>
          <w:highlight w:val="none"/>
          <w:lang w:val="en-US" w:eastAsia="zh-CN"/>
        </w:rPr>
      </w:pPr>
      <w:bookmarkStart w:id="70" w:name="_Toc23906"/>
      <w:r>
        <w:rPr>
          <w:rFonts w:hint="eastAsia"/>
          <w:color w:val="0000FF"/>
          <w:highlight w:val="none"/>
        </w:rPr>
        <w:t>第二十</w:t>
      </w:r>
      <w:r>
        <w:rPr>
          <w:rFonts w:hint="eastAsia"/>
          <w:color w:val="0000FF"/>
          <w:highlight w:val="none"/>
          <w:lang w:val="en-US" w:eastAsia="zh-CN"/>
        </w:rPr>
        <w:t>六</w:t>
      </w:r>
      <w:r>
        <w:rPr>
          <w:rFonts w:hint="eastAsia"/>
          <w:color w:val="0000FF"/>
          <w:highlight w:val="none"/>
        </w:rPr>
        <w:t>条：运行管理消防</w:t>
      </w:r>
      <w:r>
        <w:rPr>
          <w:rFonts w:hint="eastAsia"/>
          <w:color w:val="0000FF"/>
          <w:highlight w:val="none"/>
          <w:lang w:val="en-US" w:eastAsia="zh-CN"/>
        </w:rPr>
        <w:t>规划</w:t>
      </w:r>
      <w:bookmarkEnd w:id="70"/>
    </w:p>
    <w:p>
      <w:pPr>
        <w:pStyle w:val="7"/>
        <w:ind w:firstLine="56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为保证燃气供应系统安全运行，除在设计上采用上述安全防火措施外，在运行管理上尚应采取下列措施：</w:t>
      </w:r>
    </w:p>
    <w:p>
      <w:pPr>
        <w:pStyle w:val="7"/>
        <w:ind w:firstLine="56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1、组建安全防火委员会，下设义务消防队、器材组、救护组和治安组，并在当地消防部门指导下，制定消防方案，定期进行消防演习。</w:t>
      </w:r>
    </w:p>
    <w:p>
      <w:pPr>
        <w:pStyle w:val="7"/>
        <w:ind w:firstLine="56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2、建立健全各项规章制度，如岗位安全操作规程、防火责任制、岗位责任制、日常和定期检修制度，职工定期考核制度等。</w:t>
      </w:r>
    </w:p>
    <w:p>
      <w:pPr>
        <w:pStyle w:val="7"/>
        <w:ind w:firstLine="56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3、建立技术档案，做好定期检修和日常维修工作。</w:t>
      </w:r>
    </w:p>
    <w:p>
      <w:pPr>
        <w:pStyle w:val="7"/>
        <w:ind w:firstLine="56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4、设置消防报警器，发生事故时，迅速通知本单位职工和邻近单位，切实做好警戒。</w:t>
      </w:r>
    </w:p>
    <w:p>
      <w:pPr>
        <w:pStyle w:val="7"/>
        <w:ind w:firstLine="56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5、生产区入口设置（入厂须知）警示牌，生产区外墙和生产区内设置明显的（严禁烟火）警戒板。</w:t>
      </w:r>
    </w:p>
    <w:p>
      <w:pPr>
        <w:pStyle w:val="7"/>
        <w:ind w:firstLine="56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6、严格遵守国家安全部门和燃气行业管理的有关规定。</w:t>
      </w:r>
    </w:p>
    <w:p>
      <w:pPr>
        <w:pStyle w:val="7"/>
        <w:ind w:firstLine="56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7、对消防设施加强管理和维护，并对运行管理进行监督检查。</w:t>
      </w:r>
    </w:p>
    <w:p>
      <w:pPr>
        <w:pStyle w:val="7"/>
        <w:ind w:firstLine="56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8、发生火灾时，应迅速</w:t>
      </w:r>
      <w:r>
        <w:rPr>
          <w:rFonts w:hint="eastAsia" w:ascii="Times New Roman" w:hAnsi="Times New Roman"/>
          <w:color w:val="auto"/>
          <w:sz w:val="28"/>
          <w:szCs w:val="28"/>
          <w:highlight w:val="none"/>
          <w:lang w:eastAsia="zh-CN" w:bidi="th-TH"/>
        </w:rPr>
        <w:t>启动</w:t>
      </w:r>
      <w:r>
        <w:rPr>
          <w:rFonts w:ascii="Times New Roman" w:hAnsi="Times New Roman"/>
          <w:color w:val="auto"/>
          <w:sz w:val="28"/>
          <w:szCs w:val="28"/>
          <w:highlight w:val="none"/>
          <w:lang w:bidi="th-TH"/>
        </w:rPr>
        <w:t>消防水泵和消防给水系统及时进行自救，并使用配置的推车式干粉灭火器、手提式干粉灭火器，以灵活机动地有效扑灭起初火灾。</w:t>
      </w:r>
    </w:p>
    <w:p>
      <w:pPr>
        <w:ind w:firstLine="560" w:firstLineChars="200"/>
        <w:rPr>
          <w:rFonts w:hint="eastAsia" w:ascii="Times New Roman" w:hAnsi="Times New Roman"/>
          <w:color w:val="auto"/>
          <w:sz w:val="28"/>
          <w:szCs w:val="28"/>
          <w:highlight w:val="none"/>
          <w:lang w:bidi="th-TH"/>
        </w:rPr>
      </w:pPr>
      <w:r>
        <w:rPr>
          <w:rFonts w:ascii="Times New Roman" w:hAnsi="Times New Roman"/>
          <w:color w:val="auto"/>
          <w:sz w:val="28"/>
          <w:szCs w:val="28"/>
          <w:highlight w:val="none"/>
          <w:lang w:bidi="th-TH"/>
        </w:rPr>
        <w:t>9、当发现站内管道、设备发生燃气</w:t>
      </w:r>
      <w:r>
        <w:rPr>
          <w:rFonts w:hint="eastAsia" w:ascii="Times New Roman" w:hAnsi="Times New Roman"/>
          <w:color w:val="auto"/>
          <w:sz w:val="28"/>
          <w:szCs w:val="28"/>
          <w:highlight w:val="none"/>
          <w:lang w:eastAsia="zh-CN" w:bidi="th-TH"/>
        </w:rPr>
        <w:t>泄漏</w:t>
      </w:r>
      <w:r>
        <w:rPr>
          <w:rFonts w:ascii="Times New Roman" w:hAnsi="Times New Roman"/>
          <w:color w:val="auto"/>
          <w:sz w:val="28"/>
          <w:szCs w:val="28"/>
          <w:highlight w:val="none"/>
          <w:lang w:bidi="th-TH"/>
        </w:rPr>
        <w:t>着火时，应立即切断气源，并采取有效措施，同时及时向消防部门和调度中心报警</w:t>
      </w:r>
      <w:r>
        <w:rPr>
          <w:rFonts w:hint="eastAsia" w:ascii="Times New Roman" w:hAnsi="Times New Roman"/>
          <w:color w:val="auto"/>
          <w:sz w:val="28"/>
          <w:szCs w:val="28"/>
          <w:highlight w:val="none"/>
          <w:lang w:bidi="th-TH"/>
        </w:rPr>
        <w:t>。</w:t>
      </w:r>
    </w:p>
    <w:p>
      <w:pPr>
        <w:rPr>
          <w:rFonts w:hint="eastAsia" w:ascii="Times New Roman" w:hAnsi="Times New Roman"/>
          <w:color w:val="auto"/>
          <w:sz w:val="28"/>
          <w:szCs w:val="28"/>
          <w:highlight w:val="none"/>
          <w:lang w:bidi="th-TH"/>
        </w:rPr>
      </w:pPr>
    </w:p>
    <w:p>
      <w:pPr>
        <w:pStyle w:val="2"/>
        <w:rPr>
          <w:rFonts w:hint="default" w:eastAsia="宋体"/>
          <w:color w:val="auto"/>
          <w:highlight w:val="none"/>
          <w:lang w:val="en-US" w:eastAsia="zh-CN"/>
        </w:rPr>
      </w:pPr>
      <w:bookmarkStart w:id="71" w:name="_Toc20018"/>
      <w:r>
        <w:rPr>
          <w:rFonts w:hint="eastAsia"/>
          <w:color w:val="auto"/>
          <w:highlight w:val="none"/>
        </w:rPr>
        <w:t>第</w:t>
      </w:r>
      <w:r>
        <w:rPr>
          <w:rFonts w:hint="eastAsia"/>
          <w:color w:val="auto"/>
          <w:highlight w:val="none"/>
          <w:lang w:val="en-US" w:eastAsia="zh-CN"/>
        </w:rPr>
        <w:t>八</w:t>
      </w:r>
      <w:r>
        <w:rPr>
          <w:rFonts w:hint="eastAsia"/>
          <w:color w:val="auto"/>
          <w:highlight w:val="none"/>
        </w:rPr>
        <w:t xml:space="preserve">章 </w:t>
      </w:r>
      <w:r>
        <w:rPr>
          <w:color w:val="auto"/>
          <w:highlight w:val="none"/>
        </w:rPr>
        <w:t xml:space="preserve"> </w:t>
      </w:r>
      <w:r>
        <w:rPr>
          <w:rFonts w:hint="eastAsia"/>
          <w:color w:val="auto"/>
          <w:highlight w:val="none"/>
          <w:lang w:val="en-US" w:eastAsia="zh-CN"/>
        </w:rPr>
        <w:t>健康、</w:t>
      </w:r>
      <w:r>
        <w:rPr>
          <w:rFonts w:hint="eastAsia"/>
          <w:color w:val="auto"/>
          <w:highlight w:val="none"/>
        </w:rPr>
        <w:t>安全与</w:t>
      </w:r>
      <w:r>
        <w:rPr>
          <w:rFonts w:hint="eastAsia"/>
          <w:color w:val="auto"/>
          <w:highlight w:val="none"/>
          <w:lang w:val="en-US" w:eastAsia="zh-CN"/>
        </w:rPr>
        <w:t>环境管理体系</w:t>
      </w:r>
      <w:bookmarkEnd w:id="71"/>
    </w:p>
    <w:p>
      <w:pPr>
        <w:pStyle w:val="3"/>
        <w:rPr>
          <w:color w:val="auto"/>
          <w:highlight w:val="none"/>
        </w:rPr>
      </w:pPr>
      <w:bookmarkStart w:id="72" w:name="_Toc14138"/>
      <w:r>
        <w:rPr>
          <w:rFonts w:hint="eastAsia"/>
          <w:color w:val="auto"/>
          <w:highlight w:val="none"/>
        </w:rPr>
        <w:t>第</w:t>
      </w:r>
      <w:r>
        <w:rPr>
          <w:rFonts w:hint="eastAsia"/>
          <w:color w:val="auto"/>
          <w:highlight w:val="none"/>
          <w:lang w:val="en-US" w:eastAsia="zh-CN"/>
        </w:rPr>
        <w:t>二十七</w:t>
      </w:r>
      <w:r>
        <w:rPr>
          <w:rFonts w:hint="eastAsia"/>
          <w:color w:val="auto"/>
          <w:highlight w:val="none"/>
        </w:rPr>
        <w:t>条：气源安全</w:t>
      </w:r>
      <w:bookmarkEnd w:id="72"/>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气源安全是城市燃气稳定供应的保证。气源的安全</w:t>
      </w:r>
      <w:r>
        <w:rPr>
          <w:rFonts w:hint="eastAsia" w:ascii="Times New Roman" w:hAnsi="Times New Roman" w:cs="Times New Roman"/>
          <w:color w:val="auto"/>
          <w:sz w:val="28"/>
          <w:szCs w:val="28"/>
          <w:highlight w:val="none"/>
          <w:lang w:eastAsia="zh-CN" w:bidi="th-TH"/>
        </w:rPr>
        <w:t>涉及</w:t>
      </w:r>
      <w:r>
        <w:rPr>
          <w:rFonts w:ascii="Times New Roman" w:hAnsi="Times New Roman" w:cs="Times New Roman"/>
          <w:color w:val="auto"/>
          <w:sz w:val="28"/>
          <w:szCs w:val="28"/>
          <w:highlight w:val="none"/>
          <w:lang w:bidi="th-TH"/>
        </w:rPr>
        <w:t>气源生产、净化、长距离运输和城镇输配等多个环节。以天然气作为发展主气源的城市，气源安全对于城市功能具有重要影响。天然气在异地开采、净化，通过长距离输气管道输送到</w:t>
      </w:r>
      <w:r>
        <w:rPr>
          <w:rFonts w:hint="eastAsia" w:ascii="Times New Roman" w:hAnsi="Times New Roman" w:cs="Times New Roman"/>
          <w:color w:val="auto"/>
          <w:sz w:val="28"/>
          <w:szCs w:val="28"/>
          <w:highlight w:val="none"/>
          <w:lang w:val="en-US" w:eastAsia="zh-CN" w:bidi="th-TH"/>
        </w:rPr>
        <w:t>抚顺市</w:t>
      </w:r>
      <w:r>
        <w:rPr>
          <w:rFonts w:ascii="Times New Roman" w:hAnsi="Times New Roman" w:cs="Times New Roman"/>
          <w:color w:val="auto"/>
          <w:sz w:val="28"/>
          <w:szCs w:val="28"/>
          <w:highlight w:val="none"/>
          <w:lang w:bidi="th-TH"/>
        </w:rPr>
        <w:t>，沿途地形复杂多变，任一环节出现问题，都将对城市用气产生较大的影响，因此天然气气源安全性对</w:t>
      </w:r>
      <w:r>
        <w:rPr>
          <w:rFonts w:hint="eastAsia" w:ascii="Times New Roman" w:hAnsi="Times New Roman" w:cs="Times New Roman"/>
          <w:color w:val="auto"/>
          <w:sz w:val="28"/>
          <w:szCs w:val="28"/>
          <w:highlight w:val="none"/>
          <w:lang w:val="en-US" w:eastAsia="zh-CN" w:bidi="th-TH"/>
        </w:rPr>
        <w:t>抚顺高新技术产业开发区</w:t>
      </w:r>
      <w:r>
        <w:rPr>
          <w:rFonts w:ascii="Times New Roman" w:hAnsi="Times New Roman" w:cs="Times New Roman"/>
          <w:color w:val="auto"/>
          <w:sz w:val="28"/>
          <w:szCs w:val="28"/>
          <w:highlight w:val="none"/>
          <w:lang w:bidi="th-TH"/>
        </w:rPr>
        <w:t>安全供气影响巨大、至关重要。本规划主要通过以下措施提高天然气气源的安全性。</w:t>
      </w:r>
    </w:p>
    <w:p>
      <w:pPr>
        <w:ind w:firstLine="560" w:firstLineChars="200"/>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bidi="th-TH"/>
        </w:rPr>
        <w:t>通过自建、租赁或购买储气服务等方式完成政府3天和企业5% 的储气目标建设，解决应急气源建设问题。</w:t>
      </w:r>
    </w:p>
    <w:p>
      <w:pPr>
        <w:pStyle w:val="3"/>
        <w:rPr>
          <w:color w:val="auto"/>
          <w:highlight w:val="none"/>
        </w:rPr>
      </w:pPr>
      <w:bookmarkStart w:id="73" w:name="_Toc7339"/>
      <w:r>
        <w:rPr>
          <w:rFonts w:hint="eastAsia"/>
          <w:color w:val="auto"/>
          <w:highlight w:val="none"/>
        </w:rPr>
        <w:t>第</w:t>
      </w:r>
      <w:r>
        <w:rPr>
          <w:rFonts w:hint="eastAsia"/>
          <w:color w:val="auto"/>
          <w:highlight w:val="none"/>
          <w:lang w:val="en-US" w:eastAsia="zh-CN"/>
        </w:rPr>
        <w:t>二十八</w:t>
      </w:r>
      <w:r>
        <w:rPr>
          <w:rFonts w:hint="eastAsia"/>
          <w:color w:val="auto"/>
          <w:highlight w:val="none"/>
        </w:rPr>
        <w:t>条：燃气工程质量</w:t>
      </w:r>
      <w:bookmarkEnd w:id="73"/>
    </w:p>
    <w:p>
      <w:pPr>
        <w:pStyle w:val="7"/>
        <w:ind w:firstLine="56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优良的燃气工程质量是供气，用气安全的前提和保证。提高燃气工程的质量如下：</w:t>
      </w:r>
    </w:p>
    <w:p>
      <w:pPr>
        <w:pStyle w:val="7"/>
        <w:ind w:firstLine="56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1、按照城市总体规划和燃气专项规划，实施燃气管道工程建设与城市</w:t>
      </w:r>
      <w:r>
        <w:rPr>
          <w:rFonts w:hint="eastAsia" w:ascii="Times New Roman" w:hAnsi="Times New Roman"/>
          <w:color w:val="auto"/>
          <w:sz w:val="28"/>
          <w:szCs w:val="28"/>
          <w:highlight w:val="none"/>
          <w:lang w:eastAsia="zh-CN" w:bidi="th-TH"/>
        </w:rPr>
        <w:t>基础设施</w:t>
      </w:r>
      <w:r>
        <w:rPr>
          <w:rFonts w:ascii="Times New Roman" w:hAnsi="Times New Roman"/>
          <w:color w:val="auto"/>
          <w:sz w:val="28"/>
          <w:szCs w:val="28"/>
          <w:highlight w:val="none"/>
          <w:lang w:bidi="th-TH"/>
        </w:rPr>
        <w:t>建设同步进行。贯彻实行市政燃气工程和建筑燃气工程与道路、建筑等工程建设的同步设计、同步施工和同步验收。</w:t>
      </w:r>
    </w:p>
    <w:p>
      <w:pPr>
        <w:pStyle w:val="7"/>
        <w:ind w:firstLine="560"/>
        <w:rPr>
          <w:rFonts w:hint="eastAsia" w:ascii="Times New Roman" w:hAnsi="Times New Roman"/>
          <w:color w:val="auto"/>
          <w:sz w:val="28"/>
          <w:szCs w:val="28"/>
          <w:highlight w:val="none"/>
          <w:lang w:bidi="th-TH"/>
        </w:rPr>
      </w:pPr>
      <w:r>
        <w:rPr>
          <w:rFonts w:ascii="Times New Roman" w:hAnsi="Times New Roman"/>
          <w:color w:val="auto"/>
          <w:sz w:val="28"/>
          <w:szCs w:val="28"/>
          <w:highlight w:val="none"/>
          <w:lang w:bidi="th-TH"/>
        </w:rPr>
        <w:t>2、强化燃气设计单位的安全质量责任意识，使燃气使用环境达到本质</w:t>
      </w:r>
      <w:r>
        <w:rPr>
          <w:rFonts w:hint="eastAsia" w:ascii="Times New Roman" w:hAnsi="Times New Roman"/>
          <w:color w:val="auto"/>
          <w:sz w:val="28"/>
          <w:szCs w:val="28"/>
          <w:highlight w:val="none"/>
          <w:lang w:bidi="th-TH"/>
        </w:rPr>
        <w:t>安全</w:t>
      </w:r>
      <w:r>
        <w:rPr>
          <w:rFonts w:ascii="Times New Roman" w:hAnsi="Times New Roman"/>
          <w:color w:val="auto"/>
          <w:sz w:val="28"/>
          <w:szCs w:val="28"/>
          <w:highlight w:val="none"/>
          <w:lang w:bidi="th-TH"/>
        </w:rPr>
        <w:t>要求。</w:t>
      </w:r>
    </w:p>
    <w:p>
      <w:pPr>
        <w:pStyle w:val="3"/>
        <w:rPr>
          <w:color w:val="auto"/>
          <w:highlight w:val="none"/>
        </w:rPr>
      </w:pPr>
      <w:bookmarkStart w:id="74" w:name="_Toc20975"/>
      <w:r>
        <w:rPr>
          <w:rFonts w:hint="eastAsia"/>
          <w:color w:val="auto"/>
          <w:highlight w:val="none"/>
        </w:rPr>
        <w:t>第</w:t>
      </w:r>
      <w:r>
        <w:rPr>
          <w:rFonts w:hint="eastAsia"/>
          <w:color w:val="auto"/>
          <w:highlight w:val="none"/>
          <w:lang w:val="en-US" w:eastAsia="zh-CN"/>
        </w:rPr>
        <w:t>二十九</w:t>
      </w:r>
      <w:r>
        <w:rPr>
          <w:rFonts w:hint="eastAsia"/>
          <w:color w:val="auto"/>
          <w:highlight w:val="none"/>
        </w:rPr>
        <w:t>条：供气安全</w:t>
      </w:r>
      <w:bookmarkEnd w:id="74"/>
    </w:p>
    <w:p>
      <w:pPr>
        <w:pStyle w:val="7"/>
        <w:ind w:firstLine="56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提高供气安全的主要措施如下：</w:t>
      </w:r>
    </w:p>
    <w:p>
      <w:pPr>
        <w:ind w:firstLine="560" w:firstLineChars="200"/>
        <w:rPr>
          <w:rFonts w:hint="eastAsia" w:ascii="Times New Roman" w:hAnsi="Times New Roman" w:cs="Times New Roman" w:eastAsiaTheme="minorEastAsia"/>
          <w:color w:val="auto"/>
          <w:sz w:val="28"/>
          <w:szCs w:val="28"/>
          <w:highlight w:val="none"/>
          <w:lang w:val="en-US" w:eastAsia="zh-CN" w:bidi="th-TH"/>
        </w:rPr>
      </w:pPr>
      <w:r>
        <w:rPr>
          <w:rFonts w:ascii="Times New Roman" w:hAnsi="Times New Roman" w:cs="Times New Roman"/>
          <w:color w:val="auto"/>
          <w:sz w:val="28"/>
          <w:szCs w:val="28"/>
          <w:highlight w:val="none"/>
          <w:lang w:bidi="th-TH"/>
        </w:rPr>
        <w:t>1、对现有存在问题的燃气设施和燃气管网进行必要改造</w:t>
      </w:r>
      <w:r>
        <w:rPr>
          <w:rFonts w:hint="eastAsia" w:ascii="Times New Roman" w:hAnsi="Times New Roman" w:cs="Times New Roman"/>
          <w:color w:val="auto"/>
          <w:sz w:val="28"/>
          <w:szCs w:val="28"/>
          <w:highlight w:val="none"/>
          <w:lang w:eastAsia="zh-CN" w:bidi="th-TH"/>
        </w:rPr>
        <w:t>。</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2、输配系统优化配置。</w:t>
      </w:r>
      <w:r>
        <w:rPr>
          <w:rFonts w:hint="eastAsia" w:ascii="Times New Roman" w:hAnsi="Times New Roman" w:cs="Times New Roman"/>
          <w:color w:val="auto"/>
          <w:sz w:val="28"/>
          <w:szCs w:val="28"/>
          <w:highlight w:val="none"/>
          <w:lang w:val="en-US" w:eastAsia="zh-CN" w:bidi="th-TH"/>
        </w:rPr>
        <w:t>园区</w:t>
      </w:r>
      <w:r>
        <w:rPr>
          <w:rFonts w:ascii="Times New Roman" w:hAnsi="Times New Roman" w:cs="Times New Roman"/>
          <w:color w:val="auto"/>
          <w:sz w:val="28"/>
          <w:szCs w:val="28"/>
          <w:highlight w:val="none"/>
          <w:lang w:bidi="th-TH"/>
        </w:rPr>
        <w:t>主干管成环布置，提高管网事故时的供气可靠性。</w:t>
      </w:r>
    </w:p>
    <w:p>
      <w:pPr>
        <w:ind w:firstLine="560" w:firstLineChars="200"/>
        <w:rPr>
          <w:rFonts w:hint="eastAsia" w:ascii="Times New Roman" w:hAnsi="Times New Roman" w:cs="Times New Roman"/>
          <w:color w:val="0000FF"/>
          <w:sz w:val="28"/>
          <w:szCs w:val="28"/>
          <w:highlight w:val="none"/>
          <w:lang w:val="en-US" w:eastAsia="zh-CN" w:bidi="th-TH"/>
        </w:rPr>
      </w:pPr>
      <w:r>
        <w:rPr>
          <w:rFonts w:ascii="Times New Roman" w:hAnsi="Times New Roman" w:cs="Times New Roman"/>
          <w:color w:val="auto"/>
          <w:sz w:val="28"/>
          <w:szCs w:val="28"/>
          <w:highlight w:val="none"/>
          <w:lang w:bidi="th-TH"/>
        </w:rPr>
        <w:t>3、规范场站管理，加强对储存、运输设施设备的</w:t>
      </w:r>
      <w:r>
        <w:rPr>
          <w:rFonts w:hint="eastAsia" w:ascii="Times New Roman" w:hAnsi="Times New Roman" w:cs="Times New Roman"/>
          <w:color w:val="auto"/>
          <w:sz w:val="28"/>
          <w:szCs w:val="28"/>
          <w:highlight w:val="none"/>
          <w:lang w:val="en-US" w:eastAsia="zh-CN" w:bidi="th-TH"/>
        </w:rPr>
        <w:t>泄漏</w:t>
      </w:r>
      <w:r>
        <w:rPr>
          <w:rFonts w:ascii="Times New Roman" w:hAnsi="Times New Roman" w:cs="Times New Roman"/>
          <w:color w:val="auto"/>
          <w:sz w:val="28"/>
          <w:szCs w:val="28"/>
          <w:highlight w:val="none"/>
          <w:lang w:bidi="th-TH"/>
        </w:rPr>
        <w:t>控制。</w:t>
      </w:r>
      <w:r>
        <w:rPr>
          <w:rFonts w:hint="eastAsia" w:ascii="Times New Roman" w:hAnsi="Times New Roman" w:cs="Times New Roman"/>
          <w:color w:val="0000FF"/>
          <w:sz w:val="28"/>
          <w:szCs w:val="28"/>
          <w:highlight w:val="none"/>
          <w:lang w:val="en-US" w:eastAsia="zh-CN" w:bidi="th-TH"/>
        </w:rPr>
        <w:t>新建场站应当配备独立的可燃气体报警系统和紧急切断系统，确保在紧急情况下能够及时响应，减少事故风险。</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4、实施管网监控管理工程，加强对管网的巡线保护和重点地区的监控，避免管网被第三方</w:t>
      </w:r>
      <w:r>
        <w:rPr>
          <w:rFonts w:hint="eastAsia" w:ascii="Times New Roman" w:hAnsi="Times New Roman" w:cs="Times New Roman"/>
          <w:color w:val="auto"/>
          <w:sz w:val="28"/>
          <w:szCs w:val="28"/>
          <w:highlight w:val="none"/>
          <w:lang w:val="en-US" w:eastAsia="zh-CN" w:bidi="th-TH"/>
        </w:rPr>
        <w:t>破坏</w:t>
      </w:r>
      <w:r>
        <w:rPr>
          <w:rFonts w:ascii="Times New Roman" w:hAnsi="Times New Roman" w:cs="Times New Roman"/>
          <w:color w:val="auto"/>
          <w:sz w:val="28"/>
          <w:szCs w:val="28"/>
          <w:highlight w:val="none"/>
          <w:lang w:bidi="th-TH"/>
        </w:rPr>
        <w:t>。</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5、重视对管道的防腐保护，避免腐蚀损坏。</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6、企业加强安全教育，提高全员安全意识，防患于未然。</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7、提高天然气供应企业管理水平，实行规模经营，增强抵御市场风险的能力，保障稳定供气。</w:t>
      </w:r>
    </w:p>
    <w:p>
      <w:pPr>
        <w:ind w:firstLine="560" w:firstLineChars="200"/>
        <w:rPr>
          <w:rFonts w:hint="default" w:ascii="Times New Roman" w:hAnsi="Times New Roman" w:cs="Times New Roman"/>
          <w:color w:val="0000FF"/>
          <w:sz w:val="28"/>
          <w:szCs w:val="28"/>
          <w:highlight w:val="none"/>
          <w:lang w:val="en-US" w:eastAsia="zh-CN" w:bidi="th-TH"/>
        </w:rPr>
      </w:pPr>
      <w:r>
        <w:rPr>
          <w:rFonts w:hint="eastAsia" w:ascii="Times New Roman" w:hAnsi="Times New Roman" w:cs="Times New Roman"/>
          <w:color w:val="0000FF"/>
          <w:sz w:val="28"/>
          <w:szCs w:val="28"/>
          <w:highlight w:val="none"/>
          <w:lang w:val="en-US" w:eastAsia="zh-CN" w:bidi="th-TH"/>
        </w:rPr>
        <w:t>8、企业应加强安全投入，完善设备设施，提高安全性能，确保供气设施的安全运行。采用先进的技术手段，对供气设施进行实时监测和预警，及时发现并处理潜在的安全隐患。</w:t>
      </w:r>
    </w:p>
    <w:p>
      <w:pPr>
        <w:pStyle w:val="3"/>
        <w:rPr>
          <w:color w:val="auto"/>
          <w:highlight w:val="none"/>
        </w:rPr>
      </w:pPr>
      <w:bookmarkStart w:id="75" w:name="_Toc27596"/>
      <w:r>
        <w:rPr>
          <w:rFonts w:hint="eastAsia"/>
          <w:color w:val="auto"/>
          <w:highlight w:val="none"/>
        </w:rPr>
        <w:t>第</w:t>
      </w:r>
      <w:r>
        <w:rPr>
          <w:rFonts w:hint="eastAsia"/>
          <w:color w:val="auto"/>
          <w:highlight w:val="none"/>
          <w:lang w:val="en-US" w:eastAsia="zh-CN"/>
        </w:rPr>
        <w:t>三十</w:t>
      </w:r>
      <w:r>
        <w:rPr>
          <w:rFonts w:hint="eastAsia"/>
          <w:color w:val="auto"/>
          <w:highlight w:val="none"/>
        </w:rPr>
        <w:t>条：用气安全</w:t>
      </w:r>
      <w:bookmarkEnd w:id="75"/>
    </w:p>
    <w:p>
      <w:pPr>
        <w:pStyle w:val="7"/>
        <w:ind w:firstLine="56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提高用气安全的主要措施如下：</w:t>
      </w:r>
    </w:p>
    <w:p>
      <w:pPr>
        <w:ind w:firstLine="560" w:firstLineChars="200"/>
        <w:rPr>
          <w:rFonts w:ascii="Times New Roman" w:hAnsi="Times New Roman" w:cs="Times New Roman"/>
          <w:color w:val="auto"/>
          <w:sz w:val="28"/>
          <w:szCs w:val="28"/>
          <w:highlight w:val="none"/>
          <w:lang w:bidi="th-TH"/>
        </w:rPr>
      </w:pPr>
      <w:bookmarkStart w:id="76" w:name="_Toc6012"/>
      <w:bookmarkStart w:id="77" w:name="_Toc59549696"/>
      <w:bookmarkStart w:id="78" w:name="_Toc24533"/>
      <w:bookmarkStart w:id="79" w:name="_Toc59549703"/>
      <w:r>
        <w:rPr>
          <w:rFonts w:ascii="Times New Roman" w:hAnsi="Times New Roman" w:cs="Times New Roman"/>
          <w:color w:val="auto"/>
          <w:sz w:val="28"/>
          <w:szCs w:val="28"/>
          <w:highlight w:val="none"/>
          <w:lang w:bidi="th-TH"/>
        </w:rPr>
        <w:t>1、进行形式多样的社会性用气安全宣传教育。</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2、先进的安全用气设施设备、器具的推广使用，如防震、泄漏切断等。</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3、安装燃气用具的场所条件满足设备使用条件要求。</w:t>
      </w:r>
    </w:p>
    <w:p>
      <w:pPr>
        <w:pStyle w:val="3"/>
        <w:rPr>
          <w:rFonts w:hint="eastAsia" w:eastAsia="宋体"/>
          <w:color w:val="0000FF"/>
          <w:highlight w:val="none"/>
          <w:lang w:val="en-US" w:eastAsia="zh-CN"/>
        </w:rPr>
      </w:pPr>
      <w:bookmarkStart w:id="80" w:name="_Toc29162"/>
      <w:r>
        <w:rPr>
          <w:rFonts w:hint="eastAsia"/>
          <w:color w:val="0000FF"/>
          <w:highlight w:val="none"/>
        </w:rPr>
        <w:t>第</w:t>
      </w:r>
      <w:r>
        <w:rPr>
          <w:rFonts w:hint="eastAsia"/>
          <w:color w:val="0000FF"/>
          <w:highlight w:val="none"/>
          <w:lang w:val="en-US" w:eastAsia="zh-CN"/>
        </w:rPr>
        <w:t>三十一</w:t>
      </w:r>
      <w:r>
        <w:rPr>
          <w:rFonts w:hint="eastAsia"/>
          <w:color w:val="0000FF"/>
          <w:highlight w:val="none"/>
        </w:rPr>
        <w:t>条：</w:t>
      </w:r>
      <w:r>
        <w:rPr>
          <w:rFonts w:hint="eastAsia"/>
          <w:color w:val="0000FF"/>
          <w:highlight w:val="none"/>
          <w:lang w:val="en-US" w:eastAsia="zh-CN"/>
        </w:rPr>
        <w:t>应急预案</w:t>
      </w:r>
      <w:bookmarkEnd w:id="80"/>
    </w:p>
    <w:p>
      <w:pPr>
        <w:ind w:firstLine="560" w:firstLineChars="200"/>
        <w:rPr>
          <w:rFonts w:hint="eastAsia" w:ascii="Times New Roman" w:hAnsi="Times New Roman" w:cs="Times New Roman"/>
          <w:color w:val="0000FF"/>
          <w:sz w:val="28"/>
          <w:szCs w:val="28"/>
          <w:highlight w:val="none"/>
        </w:rPr>
      </w:pPr>
      <w:r>
        <w:rPr>
          <w:rFonts w:hint="eastAsia" w:ascii="Times New Roman" w:hAnsi="Times New Roman" w:cs="Times New Roman"/>
          <w:color w:val="0000FF"/>
          <w:sz w:val="28"/>
          <w:szCs w:val="28"/>
          <w:highlight w:val="none"/>
          <w:lang w:val="en-US" w:eastAsia="zh-CN"/>
        </w:rPr>
        <w:t>1、</w:t>
      </w:r>
      <w:r>
        <w:rPr>
          <w:rFonts w:hint="eastAsia" w:ascii="Times New Roman" w:hAnsi="Times New Roman" w:cs="Times New Roman"/>
          <w:color w:val="0000FF"/>
          <w:sz w:val="28"/>
          <w:szCs w:val="28"/>
          <w:highlight w:val="none"/>
        </w:rPr>
        <w:t>确保燃气高压管网的安全平稳运行，及时应对燃气管网、燃气设施的突发安全生产事故，贯彻落实“安全第一</w:t>
      </w:r>
      <w:r>
        <w:rPr>
          <w:rFonts w:hint="eastAsia" w:ascii="Times New Roman" w:hAnsi="Times New Roman" w:cs="Times New Roman"/>
          <w:color w:val="0000FF"/>
          <w:sz w:val="28"/>
          <w:szCs w:val="28"/>
          <w:highlight w:val="none"/>
          <w:lang w:eastAsia="zh-CN"/>
        </w:rPr>
        <w:t>、</w:t>
      </w:r>
      <w:r>
        <w:rPr>
          <w:rFonts w:hint="eastAsia" w:ascii="Times New Roman" w:hAnsi="Times New Roman" w:cs="Times New Roman"/>
          <w:color w:val="0000FF"/>
          <w:sz w:val="28"/>
          <w:szCs w:val="28"/>
          <w:highlight w:val="none"/>
        </w:rPr>
        <w:t>预防为主”的方针，提高应急队伍的执</w:t>
      </w:r>
      <w:r>
        <w:rPr>
          <w:rFonts w:hint="eastAsia" w:ascii="Times New Roman" w:hAnsi="Times New Roman" w:cs="Times New Roman"/>
          <w:color w:val="0000FF"/>
          <w:sz w:val="28"/>
          <w:szCs w:val="28"/>
          <w:highlight w:val="none"/>
          <w:lang w:eastAsia="zh-CN"/>
        </w:rPr>
        <w:t>行能</w:t>
      </w:r>
      <w:r>
        <w:rPr>
          <w:rFonts w:hint="eastAsia" w:ascii="Times New Roman" w:hAnsi="Times New Roman" w:cs="Times New Roman"/>
          <w:color w:val="0000FF"/>
          <w:sz w:val="28"/>
          <w:szCs w:val="28"/>
          <w:highlight w:val="none"/>
        </w:rPr>
        <w:t>力、快速反应能力和事故处置能力，保证在发生突发事故时能按照“以人为本，专业处置、增强意识、预防为主”原则，安全、迅速、高效地完成抢险任务，结合当地运营公司实际情况，可适当调整本方案。</w:t>
      </w:r>
    </w:p>
    <w:p>
      <w:pPr>
        <w:ind w:firstLine="560" w:firstLineChars="200"/>
        <w:rPr>
          <w:rFonts w:hint="eastAsia" w:ascii="Times New Roman" w:hAnsi="Times New Roman" w:cs="Times New Roman"/>
          <w:color w:val="0000FF"/>
          <w:sz w:val="28"/>
          <w:szCs w:val="28"/>
          <w:highlight w:val="none"/>
        </w:rPr>
      </w:pPr>
      <w:r>
        <w:rPr>
          <w:rFonts w:hint="eastAsia" w:ascii="Times New Roman" w:hAnsi="Times New Roman" w:cs="Times New Roman"/>
          <w:color w:val="0000FF"/>
          <w:sz w:val="28"/>
          <w:szCs w:val="28"/>
          <w:highlight w:val="none"/>
          <w:lang w:val="en-US" w:eastAsia="zh-CN"/>
        </w:rPr>
        <w:t>2、</w:t>
      </w:r>
      <w:r>
        <w:rPr>
          <w:rFonts w:hint="eastAsia" w:ascii="Times New Roman" w:hAnsi="Times New Roman" w:cs="Times New Roman"/>
          <w:color w:val="0000FF"/>
          <w:sz w:val="28"/>
          <w:szCs w:val="28"/>
          <w:highlight w:val="none"/>
        </w:rPr>
        <w:t>抢险流程</w:t>
      </w:r>
    </w:p>
    <w:p>
      <w:pPr>
        <w:ind w:firstLine="560" w:firstLineChars="200"/>
        <w:rPr>
          <w:rFonts w:hint="eastAsia" w:ascii="Times New Roman" w:hAnsi="Times New Roman" w:cs="Times New Roman"/>
          <w:color w:val="0000FF"/>
          <w:sz w:val="28"/>
          <w:szCs w:val="28"/>
          <w:highlight w:val="none"/>
        </w:rPr>
      </w:pPr>
      <w:r>
        <w:rPr>
          <w:rFonts w:hint="eastAsia" w:ascii="Times New Roman" w:hAnsi="Times New Roman" w:cs="Times New Roman"/>
          <w:color w:val="0000FF"/>
          <w:sz w:val="28"/>
          <w:szCs w:val="28"/>
          <w:highlight w:val="none"/>
        </w:rPr>
        <w:t>（1）接到调度中心抢险电话后，30分钟内赶到现场。</w:t>
      </w:r>
    </w:p>
    <w:p>
      <w:pPr>
        <w:ind w:firstLine="560" w:firstLineChars="200"/>
        <w:rPr>
          <w:rFonts w:hint="eastAsia" w:ascii="Times New Roman" w:hAnsi="Times New Roman" w:cs="Times New Roman"/>
          <w:color w:val="0000FF"/>
          <w:sz w:val="28"/>
          <w:szCs w:val="28"/>
          <w:highlight w:val="none"/>
        </w:rPr>
      </w:pPr>
      <w:r>
        <w:rPr>
          <w:rFonts w:hint="eastAsia" w:ascii="Times New Roman" w:hAnsi="Times New Roman" w:cs="Times New Roman"/>
          <w:color w:val="0000FF"/>
          <w:sz w:val="28"/>
          <w:szCs w:val="28"/>
          <w:highlight w:val="none"/>
        </w:rPr>
        <w:t>（2）到达现场后立即采取安全防护措施（</w:t>
      </w:r>
      <w:r>
        <w:rPr>
          <w:rFonts w:hint="eastAsia" w:ascii="Times New Roman" w:hAnsi="Times New Roman" w:cs="Times New Roman"/>
          <w:color w:val="0000FF"/>
          <w:sz w:val="28"/>
          <w:szCs w:val="28"/>
          <w:highlight w:val="none"/>
          <w:lang w:val="en-US" w:eastAsia="zh-CN"/>
        </w:rPr>
        <w:t>拉</w:t>
      </w:r>
      <w:r>
        <w:rPr>
          <w:rFonts w:hint="eastAsia" w:ascii="Times New Roman" w:hAnsi="Times New Roman" w:cs="Times New Roman"/>
          <w:color w:val="0000FF"/>
          <w:sz w:val="28"/>
          <w:szCs w:val="28"/>
          <w:highlight w:val="none"/>
          <w:lang w:eastAsia="zh-CN"/>
        </w:rPr>
        <w:t>置</w:t>
      </w:r>
      <w:r>
        <w:rPr>
          <w:rFonts w:hint="eastAsia" w:ascii="Times New Roman" w:hAnsi="Times New Roman" w:cs="Times New Roman"/>
          <w:color w:val="0000FF"/>
          <w:sz w:val="28"/>
          <w:szCs w:val="28"/>
          <w:highlight w:val="none"/>
        </w:rPr>
        <w:t>警示带），了解险情情况，当班组长到达现场后，5分钟内将现场情况及时反馈至调度中心（事故性质、具体地点、周围有无居民）。组长负责现场指挥。</w:t>
      </w:r>
    </w:p>
    <w:p>
      <w:pPr>
        <w:ind w:firstLine="560" w:firstLineChars="200"/>
        <w:rPr>
          <w:rFonts w:hint="eastAsia" w:ascii="Times New Roman" w:hAnsi="Times New Roman" w:cs="Times New Roman"/>
          <w:color w:val="0000FF"/>
          <w:sz w:val="28"/>
          <w:szCs w:val="28"/>
          <w:highlight w:val="none"/>
        </w:rPr>
      </w:pPr>
      <w:r>
        <w:rPr>
          <w:rFonts w:hint="eastAsia" w:ascii="Times New Roman" w:hAnsi="Times New Roman" w:cs="Times New Roman"/>
          <w:color w:val="0000FF"/>
          <w:sz w:val="28"/>
          <w:szCs w:val="28"/>
          <w:highlight w:val="none"/>
        </w:rPr>
        <w:t>（3）当班组长向调度汇报现场情况，执行调度中心指令（关闭相应调压器，关、控相应阀门等）。</w:t>
      </w:r>
    </w:p>
    <w:p>
      <w:pPr>
        <w:ind w:firstLine="560" w:firstLineChars="200"/>
        <w:rPr>
          <w:rFonts w:hint="eastAsia" w:ascii="Times New Roman" w:hAnsi="Times New Roman" w:cs="Times New Roman"/>
          <w:color w:val="0000FF"/>
          <w:sz w:val="28"/>
          <w:szCs w:val="28"/>
          <w:highlight w:val="none"/>
        </w:rPr>
      </w:pPr>
      <w:r>
        <w:rPr>
          <w:rFonts w:hint="eastAsia" w:ascii="Times New Roman" w:hAnsi="Times New Roman" w:cs="Times New Roman"/>
          <w:color w:val="0000FF"/>
          <w:sz w:val="28"/>
          <w:szCs w:val="28"/>
          <w:highlight w:val="none"/>
        </w:rPr>
        <w:t>（4）现场设置警戒区域、警示牌、消防器材，安排专人负责设置警戒区域，做好现场安全监护工作。</w:t>
      </w:r>
    </w:p>
    <w:p>
      <w:pPr>
        <w:ind w:firstLine="560" w:firstLineChars="200"/>
        <w:rPr>
          <w:rFonts w:hint="eastAsia" w:ascii="Times New Roman" w:hAnsi="Times New Roman" w:cs="Times New Roman"/>
          <w:color w:val="0000FF"/>
          <w:sz w:val="28"/>
          <w:szCs w:val="28"/>
          <w:highlight w:val="none"/>
        </w:rPr>
      </w:pPr>
      <w:r>
        <w:rPr>
          <w:rFonts w:hint="eastAsia" w:ascii="Times New Roman" w:hAnsi="Times New Roman" w:cs="Times New Roman"/>
          <w:color w:val="0000FF"/>
          <w:sz w:val="28"/>
          <w:szCs w:val="28"/>
          <w:highlight w:val="none"/>
        </w:rPr>
        <w:t>（5）向调度中心报告泄漏情况并服从调度指令关闭相应阀门。</w:t>
      </w:r>
    </w:p>
    <w:p>
      <w:pPr>
        <w:ind w:firstLine="560" w:firstLineChars="200"/>
        <w:rPr>
          <w:rFonts w:hint="eastAsia" w:ascii="Times New Roman" w:hAnsi="Times New Roman" w:cs="Times New Roman"/>
          <w:color w:val="0000FF"/>
          <w:sz w:val="28"/>
          <w:szCs w:val="28"/>
          <w:highlight w:val="none"/>
        </w:rPr>
      </w:pPr>
      <w:r>
        <w:rPr>
          <w:rFonts w:hint="eastAsia" w:ascii="Times New Roman" w:hAnsi="Times New Roman" w:cs="Times New Roman"/>
          <w:color w:val="0000FF"/>
          <w:sz w:val="28"/>
          <w:szCs w:val="28"/>
          <w:highlight w:val="none"/>
        </w:rPr>
        <w:t>（6）配合抢修队进行抢修。</w:t>
      </w:r>
    </w:p>
    <w:p>
      <w:pPr>
        <w:ind w:firstLine="560" w:firstLineChars="200"/>
        <w:rPr>
          <w:rFonts w:hint="eastAsia" w:ascii="Times New Roman" w:hAnsi="Times New Roman" w:cs="Times New Roman"/>
          <w:color w:val="0000FF"/>
          <w:sz w:val="28"/>
          <w:szCs w:val="28"/>
          <w:highlight w:val="none"/>
        </w:rPr>
      </w:pPr>
      <w:r>
        <w:rPr>
          <w:rFonts w:hint="eastAsia" w:ascii="Times New Roman" w:hAnsi="Times New Roman" w:cs="Times New Roman"/>
          <w:color w:val="0000FF"/>
          <w:sz w:val="28"/>
          <w:szCs w:val="28"/>
          <w:highlight w:val="none"/>
        </w:rPr>
        <w:t>（7）抢修结束后，检查周边情况，确保无任何隐患。</w:t>
      </w:r>
    </w:p>
    <w:p>
      <w:pPr>
        <w:ind w:firstLine="560" w:firstLineChars="200"/>
        <w:rPr>
          <w:rFonts w:hint="eastAsia" w:ascii="Times New Roman" w:hAnsi="Times New Roman" w:cs="Times New Roman"/>
          <w:color w:val="0000FF"/>
          <w:sz w:val="28"/>
          <w:szCs w:val="28"/>
          <w:highlight w:val="none"/>
        </w:rPr>
      </w:pPr>
      <w:r>
        <w:rPr>
          <w:rFonts w:hint="eastAsia" w:ascii="Times New Roman" w:hAnsi="Times New Roman" w:cs="Times New Roman"/>
          <w:color w:val="0000FF"/>
          <w:sz w:val="28"/>
          <w:szCs w:val="28"/>
          <w:highlight w:val="none"/>
        </w:rPr>
        <w:t>（8）抢险结束后，按要求开启阀门，试漏合格后，恢复正常供气。组长向调度中心反馈。</w:t>
      </w:r>
    </w:p>
    <w:p>
      <w:pPr>
        <w:ind w:firstLine="560" w:firstLineChars="200"/>
        <w:rPr>
          <w:rFonts w:hint="eastAsia" w:ascii="Times New Roman" w:hAnsi="Times New Roman" w:cs="Times New Roman"/>
          <w:color w:val="0000FF"/>
          <w:sz w:val="28"/>
          <w:szCs w:val="28"/>
          <w:highlight w:val="none"/>
        </w:rPr>
      </w:pPr>
      <w:r>
        <w:rPr>
          <w:rFonts w:hint="eastAsia" w:ascii="Times New Roman" w:hAnsi="Times New Roman" w:cs="Times New Roman"/>
          <w:color w:val="0000FF"/>
          <w:sz w:val="28"/>
          <w:szCs w:val="28"/>
          <w:highlight w:val="none"/>
        </w:rPr>
        <w:t>（9）管线修复工作完成后，打开调压器放散阀进行放散，放散检测合格后开启调压器恢复供气（晚间21时后，调压器于第二日6时开启）。</w:t>
      </w:r>
    </w:p>
    <w:p>
      <w:pPr>
        <w:ind w:firstLine="560" w:firstLineChars="200"/>
        <w:rPr>
          <w:rFonts w:ascii="Times New Roman" w:hAnsi="Times New Roman" w:cs="Times New Roman"/>
          <w:color w:val="auto"/>
          <w:sz w:val="28"/>
          <w:szCs w:val="28"/>
          <w:highlight w:val="none"/>
          <w:lang w:bidi="th-TH"/>
        </w:rPr>
      </w:pPr>
      <w:r>
        <w:rPr>
          <w:rFonts w:hint="eastAsia" w:ascii="Times New Roman" w:hAnsi="Times New Roman" w:cs="Times New Roman"/>
          <w:color w:val="0000FF"/>
          <w:sz w:val="28"/>
          <w:szCs w:val="28"/>
          <w:highlight w:val="none"/>
        </w:rPr>
        <w:t>（10）恢复供气后向调度中心报告。</w:t>
      </w:r>
    </w:p>
    <w:p>
      <w:pPr>
        <w:pStyle w:val="3"/>
        <w:rPr>
          <w:rFonts w:ascii="Times New Roman" w:hAnsi="Times New Roman"/>
          <w:color w:val="auto"/>
          <w:sz w:val="28"/>
          <w:szCs w:val="28"/>
          <w:highlight w:val="none"/>
        </w:rPr>
      </w:pPr>
      <w:bookmarkStart w:id="81" w:name="_Toc8797"/>
      <w:r>
        <w:rPr>
          <w:rFonts w:ascii="Times New Roman" w:hAnsi="Times New Roman"/>
          <w:color w:val="auto"/>
          <w:kern w:val="44"/>
          <w:szCs w:val="44"/>
          <w:highlight w:val="none"/>
        </w:rPr>
        <w:t>第</w:t>
      </w:r>
      <w:r>
        <w:rPr>
          <w:rFonts w:hint="eastAsia" w:ascii="Times New Roman" w:hAnsi="Times New Roman"/>
          <w:color w:val="auto"/>
          <w:kern w:val="44"/>
          <w:szCs w:val="44"/>
          <w:highlight w:val="none"/>
          <w:lang w:val="en-US" w:eastAsia="zh-CN"/>
        </w:rPr>
        <w:t>三十二</w:t>
      </w:r>
      <w:r>
        <w:rPr>
          <w:rFonts w:ascii="Times New Roman" w:hAnsi="Times New Roman"/>
          <w:color w:val="auto"/>
          <w:kern w:val="44"/>
          <w:szCs w:val="44"/>
          <w:highlight w:val="none"/>
        </w:rPr>
        <w:t>条：安全保障措施</w:t>
      </w:r>
      <w:bookmarkEnd w:id="76"/>
      <w:bookmarkEnd w:id="77"/>
      <w:bookmarkEnd w:id="81"/>
    </w:p>
    <w:p>
      <w:pPr>
        <w:pStyle w:val="7"/>
        <w:ind w:firstLine="550" w:firstLineChars="196"/>
        <w:rPr>
          <w:rFonts w:ascii="Times New Roman" w:hAnsi="Times New Roman"/>
          <w:b/>
          <w:color w:val="auto"/>
          <w:sz w:val="28"/>
          <w:szCs w:val="28"/>
          <w:highlight w:val="none"/>
          <w:lang w:bidi="th-TH"/>
        </w:rPr>
      </w:pPr>
      <w:r>
        <w:rPr>
          <w:rFonts w:ascii="Times New Roman" w:hAnsi="Times New Roman"/>
          <w:b/>
          <w:color w:val="auto"/>
          <w:sz w:val="28"/>
          <w:szCs w:val="28"/>
          <w:highlight w:val="none"/>
          <w:lang w:bidi="th-TH"/>
        </w:rPr>
        <w:t>1、政府加强建设、运营、应用等环节的监管</w:t>
      </w:r>
    </w:p>
    <w:p>
      <w:pPr>
        <w:pStyle w:val="7"/>
        <w:ind w:firstLine="550" w:firstLineChars="196"/>
        <w:rPr>
          <w:rFonts w:ascii="Times New Roman" w:hAnsi="Times New Roman"/>
          <w:b/>
          <w:color w:val="auto"/>
          <w:sz w:val="28"/>
          <w:szCs w:val="28"/>
          <w:highlight w:val="none"/>
          <w:lang w:bidi="th-TH"/>
        </w:rPr>
      </w:pPr>
      <w:r>
        <w:rPr>
          <w:rFonts w:ascii="Times New Roman" w:hAnsi="Times New Roman"/>
          <w:b/>
          <w:color w:val="auto"/>
          <w:sz w:val="28"/>
          <w:szCs w:val="28"/>
          <w:highlight w:val="none"/>
          <w:lang w:bidi="th-TH"/>
        </w:rPr>
        <w:t>2、管道燃气企业安全保障</w:t>
      </w:r>
    </w:p>
    <w:p>
      <w:pPr>
        <w:ind w:firstLine="560" w:firstLineChars="200"/>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eastAsia="zh-CN" w:bidi="th-TH"/>
        </w:rPr>
        <w:t>（</w:t>
      </w:r>
      <w:r>
        <w:rPr>
          <w:rFonts w:ascii="Times New Roman" w:hAnsi="Times New Roman" w:cs="Times New Roman"/>
          <w:color w:val="auto"/>
          <w:sz w:val="28"/>
          <w:szCs w:val="28"/>
          <w:highlight w:val="none"/>
          <w:lang w:bidi="th-TH"/>
        </w:rPr>
        <w:t>1）进一步完善安全管理制度，落实安全管理责任；</w:t>
      </w:r>
    </w:p>
    <w:p>
      <w:pPr>
        <w:ind w:firstLine="560" w:firstLineChars="200"/>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eastAsia="zh-CN" w:bidi="th-TH"/>
        </w:rPr>
        <w:t>（</w:t>
      </w:r>
      <w:r>
        <w:rPr>
          <w:rFonts w:ascii="Times New Roman" w:hAnsi="Times New Roman" w:cs="Times New Roman"/>
          <w:color w:val="auto"/>
          <w:sz w:val="28"/>
          <w:szCs w:val="28"/>
          <w:highlight w:val="none"/>
          <w:lang w:bidi="th-TH"/>
        </w:rPr>
        <w:t xml:space="preserve">2）通过信息化、智能化手段，加强燃气管道和燃气场站安全运行； </w:t>
      </w:r>
    </w:p>
    <w:p>
      <w:pPr>
        <w:ind w:firstLine="560" w:firstLineChars="200"/>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eastAsia="zh-CN" w:bidi="th-TH"/>
        </w:rPr>
        <w:t>（</w:t>
      </w:r>
      <w:r>
        <w:rPr>
          <w:rFonts w:ascii="Times New Roman" w:hAnsi="Times New Roman" w:cs="Times New Roman"/>
          <w:color w:val="auto"/>
          <w:sz w:val="28"/>
          <w:szCs w:val="28"/>
          <w:highlight w:val="none"/>
          <w:lang w:bidi="th-TH"/>
        </w:rPr>
        <w:t>3）对现有管网和燃气场站进行风险评估并分级管理；</w:t>
      </w:r>
    </w:p>
    <w:p>
      <w:pPr>
        <w:ind w:firstLine="560" w:firstLineChars="200"/>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eastAsia="zh-CN" w:bidi="th-TH"/>
        </w:rPr>
        <w:t>（</w:t>
      </w:r>
      <w:r>
        <w:rPr>
          <w:rFonts w:hint="eastAsia" w:ascii="Times New Roman" w:hAnsi="Times New Roman" w:cs="Times New Roman"/>
          <w:color w:val="auto"/>
          <w:sz w:val="28"/>
          <w:szCs w:val="28"/>
          <w:highlight w:val="none"/>
          <w:lang w:val="en-US" w:eastAsia="zh-CN" w:bidi="th-TH"/>
        </w:rPr>
        <w:t>4</w:t>
      </w:r>
      <w:r>
        <w:rPr>
          <w:rFonts w:ascii="Times New Roman" w:hAnsi="Times New Roman" w:cs="Times New Roman"/>
          <w:color w:val="auto"/>
          <w:sz w:val="28"/>
          <w:szCs w:val="28"/>
          <w:highlight w:val="none"/>
          <w:lang w:bidi="th-TH"/>
        </w:rPr>
        <w:t>）新建设施全部纳入全过程管理系统。</w:t>
      </w:r>
    </w:p>
    <w:p>
      <w:pPr>
        <w:ind w:firstLine="550" w:firstLineChars="196"/>
        <w:rPr>
          <w:rFonts w:ascii="Times New Roman" w:hAnsi="Times New Roman" w:cs="Times New Roman"/>
          <w:b/>
          <w:color w:val="auto"/>
          <w:sz w:val="28"/>
          <w:szCs w:val="28"/>
          <w:highlight w:val="none"/>
          <w:lang w:bidi="th-TH"/>
        </w:rPr>
      </w:pPr>
      <w:r>
        <w:rPr>
          <w:rFonts w:ascii="Times New Roman" w:hAnsi="Times New Roman" w:cs="Times New Roman"/>
          <w:b/>
          <w:color w:val="auto"/>
          <w:sz w:val="28"/>
          <w:szCs w:val="28"/>
          <w:highlight w:val="none"/>
          <w:lang w:bidi="th-TH"/>
        </w:rPr>
        <w:t>3、用户安全保障</w:t>
      </w:r>
    </w:p>
    <w:p>
      <w:pPr>
        <w:ind w:firstLine="560" w:firstLineChars="200"/>
        <w:rPr>
          <w:rFonts w:hint="eastAsia" w:ascii="Times New Roman" w:hAnsi="Times New Roman" w:cs="Times New Roman" w:eastAsiaTheme="minorEastAsia"/>
          <w:color w:val="auto"/>
          <w:sz w:val="28"/>
          <w:szCs w:val="28"/>
          <w:highlight w:val="none"/>
          <w:lang w:eastAsia="zh-CN" w:bidi="th-TH"/>
        </w:rPr>
      </w:pPr>
      <w:r>
        <w:rPr>
          <w:rFonts w:hint="eastAsia" w:ascii="Times New Roman" w:hAnsi="Times New Roman" w:cs="Times New Roman"/>
          <w:color w:val="auto"/>
          <w:sz w:val="28"/>
          <w:szCs w:val="28"/>
          <w:highlight w:val="none"/>
          <w:lang w:eastAsia="zh-CN" w:bidi="th-TH"/>
        </w:rPr>
        <w:t>（</w:t>
      </w:r>
      <w:r>
        <w:rPr>
          <w:rFonts w:ascii="Times New Roman" w:hAnsi="Times New Roman" w:cs="Times New Roman"/>
          <w:color w:val="auto"/>
          <w:sz w:val="28"/>
          <w:szCs w:val="28"/>
          <w:highlight w:val="none"/>
          <w:lang w:bidi="th-TH"/>
        </w:rPr>
        <w:t>1）加强社会性用气安全宣传教育，提高安全用气意识</w:t>
      </w:r>
      <w:bookmarkStart w:id="82" w:name="_Toc30510"/>
      <w:bookmarkStart w:id="83" w:name="_Toc441498998"/>
      <w:bookmarkStart w:id="84" w:name="_Toc438133882"/>
      <w:bookmarkStart w:id="85" w:name="_Toc441498534"/>
      <w:r>
        <w:rPr>
          <w:rFonts w:hint="eastAsia" w:ascii="Times New Roman" w:hAnsi="Times New Roman" w:cs="Times New Roman"/>
          <w:color w:val="auto"/>
          <w:sz w:val="28"/>
          <w:szCs w:val="28"/>
          <w:highlight w:val="none"/>
          <w:lang w:eastAsia="zh-CN" w:bidi="th-TH"/>
        </w:rPr>
        <w:t>。</w:t>
      </w:r>
    </w:p>
    <w:bookmarkEnd w:id="82"/>
    <w:bookmarkEnd w:id="83"/>
    <w:bookmarkEnd w:id="84"/>
    <w:bookmarkEnd w:id="85"/>
    <w:p>
      <w:pPr>
        <w:pStyle w:val="3"/>
        <w:rPr>
          <w:color w:val="auto"/>
          <w:highlight w:val="none"/>
          <w:lang w:bidi="th-TH"/>
        </w:rPr>
      </w:pPr>
      <w:bookmarkStart w:id="86" w:name="_Toc20178"/>
      <w:r>
        <w:rPr>
          <w:rFonts w:hint="eastAsia"/>
          <w:color w:val="auto"/>
          <w:highlight w:val="none"/>
          <w:lang w:bidi="th-TH"/>
        </w:rPr>
        <w:t>第三十</w:t>
      </w:r>
      <w:r>
        <w:rPr>
          <w:rFonts w:hint="eastAsia"/>
          <w:color w:val="auto"/>
          <w:highlight w:val="none"/>
          <w:lang w:val="en-US" w:eastAsia="zh-CN" w:bidi="th-TH"/>
        </w:rPr>
        <w:t>三</w:t>
      </w:r>
      <w:r>
        <w:rPr>
          <w:rFonts w:hint="eastAsia"/>
          <w:color w:val="auto"/>
          <w:highlight w:val="none"/>
          <w:lang w:bidi="th-TH"/>
        </w:rPr>
        <w:t>条：职业卫生规划</w:t>
      </w:r>
      <w:bookmarkEnd w:id="86"/>
    </w:p>
    <w:p>
      <w:pPr>
        <w:ind w:firstLine="562" w:firstLineChars="200"/>
        <w:rPr>
          <w:rFonts w:ascii="Times New Roman" w:hAnsi="Times New Roman" w:cs="Times New Roman"/>
          <w:b/>
          <w:bCs/>
          <w:color w:val="auto"/>
          <w:sz w:val="28"/>
          <w:szCs w:val="28"/>
          <w:highlight w:val="none"/>
          <w:lang w:bidi="th-TH"/>
        </w:rPr>
      </w:pPr>
      <w:r>
        <w:rPr>
          <w:rFonts w:ascii="Times New Roman" w:hAnsi="Times New Roman" w:cs="Times New Roman"/>
          <w:b/>
          <w:bCs/>
          <w:color w:val="auto"/>
          <w:sz w:val="28"/>
          <w:szCs w:val="28"/>
          <w:highlight w:val="none"/>
          <w:lang w:bidi="th-TH"/>
        </w:rPr>
        <w:t>1、</w:t>
      </w:r>
      <w:r>
        <w:rPr>
          <w:rFonts w:hint="eastAsia" w:ascii="Times New Roman" w:hAnsi="Times New Roman" w:cs="Times New Roman"/>
          <w:b/>
          <w:bCs/>
          <w:color w:val="auto"/>
          <w:sz w:val="28"/>
          <w:szCs w:val="28"/>
          <w:highlight w:val="none"/>
          <w:lang w:bidi="th-TH"/>
        </w:rPr>
        <w:t>规划依据</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（1）《石油天然气工业健康、安全与环境管理体系》（SY/T6276-2014）</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（2）《环境管理体系要求及使用指南》（GB/T24001-2016）</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（3）《职业健康安全管理体系要求》（GB/T28001-2011）</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（4）《企业安全生产标准化基本规范》（AQ/T9006-2010）</w:t>
      </w:r>
    </w:p>
    <w:p>
      <w:pPr>
        <w:ind w:firstLine="562" w:firstLineChars="200"/>
        <w:rPr>
          <w:rFonts w:ascii="Times New Roman" w:hAnsi="Times New Roman" w:cs="Times New Roman"/>
          <w:b/>
          <w:bCs/>
          <w:color w:val="auto"/>
          <w:sz w:val="28"/>
          <w:szCs w:val="28"/>
          <w:highlight w:val="none"/>
          <w:lang w:bidi="th-TH"/>
        </w:rPr>
      </w:pPr>
      <w:r>
        <w:rPr>
          <w:rFonts w:hint="eastAsia" w:ascii="Times New Roman" w:hAnsi="Times New Roman" w:cs="Times New Roman"/>
          <w:b/>
          <w:bCs/>
          <w:color w:val="auto"/>
          <w:sz w:val="28"/>
          <w:szCs w:val="28"/>
          <w:highlight w:val="none"/>
          <w:lang w:bidi="th-TH"/>
        </w:rPr>
        <w:t>2、健康、安全与环境管理体系模式总要求</w:t>
      </w:r>
    </w:p>
    <w:p>
      <w:pPr>
        <w:ind w:firstLine="560" w:firstLineChars="200"/>
        <w:rPr>
          <w:rFonts w:ascii="Times New Roman" w:hAnsi="Times New Roman" w:cs="Times New Roman"/>
          <w:color w:val="auto"/>
          <w:sz w:val="28"/>
          <w:szCs w:val="28"/>
          <w:highlight w:val="none"/>
          <w:lang w:bidi="th-TH"/>
        </w:rPr>
      </w:pPr>
      <w:r>
        <w:rPr>
          <w:rFonts w:hint="eastAsia" w:ascii="Times New Roman" w:hAnsi="Times New Roman" w:cs="Times New Roman"/>
          <w:color w:val="0000FF"/>
          <w:sz w:val="28"/>
          <w:szCs w:val="28"/>
          <w:highlight w:val="none"/>
          <w:lang w:val="en-US" w:eastAsia="zh-CN" w:bidi="th-TH"/>
        </w:rPr>
        <w:t>城镇燃气企业</w:t>
      </w:r>
      <w:r>
        <w:rPr>
          <w:rFonts w:hint="eastAsia" w:ascii="Times New Roman" w:hAnsi="Times New Roman" w:cs="Times New Roman"/>
          <w:color w:val="auto"/>
          <w:sz w:val="28"/>
          <w:szCs w:val="28"/>
          <w:highlight w:val="none"/>
          <w:lang w:bidi="th-TH"/>
        </w:rPr>
        <w:t>组织应建立、实施、保持和持续改进健康、安全与环境管理体系，通过健康、安全与环境初始评审，明确现有健康、安全与环境状况以及确定改进的机会，在此基础上进行策划和设计，确定如何实现这些要求，并形成文件。</w:t>
      </w:r>
    </w:p>
    <w:p>
      <w:pPr>
        <w:ind w:firstLine="560" w:firstLineChars="200"/>
        <w:rPr>
          <w:rFonts w:ascii="Times New Roman" w:hAnsi="Times New Roman" w:cs="Times New Roman"/>
          <w:color w:val="auto"/>
          <w:sz w:val="28"/>
          <w:szCs w:val="28"/>
          <w:highlight w:val="none"/>
          <w:lang w:bidi="th-TH"/>
        </w:rPr>
      </w:pPr>
      <w:bookmarkStart w:id="87" w:name="_Toc100525872"/>
      <w:bookmarkStart w:id="88" w:name="_Toc30700"/>
      <w:r>
        <w:rPr>
          <w:rFonts w:hint="eastAsia" w:ascii="Times New Roman" w:hAnsi="Times New Roman" w:cs="Times New Roman"/>
          <w:color w:val="auto"/>
          <w:sz w:val="28"/>
          <w:szCs w:val="28"/>
          <w:highlight w:val="none"/>
          <w:lang w:bidi="th-TH"/>
        </w:rPr>
        <w:t>（1）</w:t>
      </w:r>
      <w:r>
        <w:rPr>
          <w:rFonts w:ascii="Times New Roman" w:hAnsi="Times New Roman" w:cs="Times New Roman"/>
          <w:color w:val="auto"/>
          <w:sz w:val="28"/>
          <w:szCs w:val="28"/>
          <w:highlight w:val="none"/>
          <w:lang w:bidi="th-TH"/>
        </w:rPr>
        <w:t>领导和承诺</w:t>
      </w:r>
      <w:bookmarkEnd w:id="87"/>
      <w:bookmarkEnd w:id="88"/>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组织应明确各级领导、健康、安全与环境管理的责任，保障健康、安全与环境管理体系的建立与运行。最高管理者应对组织建立、实施、保持和持续改进健康、安全与环境管理体系提供强有力的领导和明确的承诺，组织健康、安全与环境的最终责任由最高管理者承担。</w:t>
      </w:r>
    </w:p>
    <w:p>
      <w:pPr>
        <w:ind w:firstLine="560" w:firstLineChars="200"/>
        <w:rPr>
          <w:rFonts w:ascii="Times New Roman" w:hAnsi="Times New Roman" w:eastAsia="宋体"/>
          <w:bCs/>
          <w:color w:val="auto"/>
          <w:sz w:val="28"/>
          <w:highlight w:val="none"/>
        </w:rPr>
      </w:pPr>
      <w:r>
        <w:rPr>
          <w:rFonts w:hint="eastAsia" w:ascii="Times New Roman" w:hAnsi="Times New Roman" w:eastAsia="宋体"/>
          <w:bCs/>
          <w:color w:val="auto"/>
          <w:sz w:val="28"/>
          <w:highlight w:val="none"/>
        </w:rPr>
        <w:t>（2）健康、安全与环境方针</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组织的最高管理者应确定和批准组织的健康、安全与环境方针，规定组织健康、安全与环境管理的原则和政策，健康、安全与环境方针应：包括对遵守法律、法规和其他要求的承诺，以及对持续改进和事故预防的承诺等</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适合于组织的活动、产品或服务的性质和规模以及健康、安全与环境风险</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传达到所有在组织控制下工作的人员，旨在使其认识各自的健康、安全与环境义务</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形成文件，付诸实施并予以保持</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可为相关方所获取</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定期评审，以确保其与组织保持相关和适宜。</w:t>
      </w:r>
    </w:p>
    <w:p>
      <w:pPr>
        <w:ind w:firstLine="560" w:firstLineChars="200"/>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bidi="th-TH"/>
        </w:rPr>
        <w:t>（3）策划：</w:t>
      </w:r>
      <w:r>
        <w:rPr>
          <w:rFonts w:ascii="Times New Roman" w:hAnsi="Times New Roman" w:cs="Times New Roman"/>
          <w:color w:val="auto"/>
          <w:sz w:val="28"/>
          <w:szCs w:val="28"/>
          <w:highlight w:val="none"/>
          <w:lang w:bidi="th-TH"/>
        </w:rPr>
        <w:t>危害因素辨识、风险评价和控制措施的确定</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法律法规和其他要求</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 xml:space="preserve"> </w:t>
      </w:r>
      <w:r>
        <w:rPr>
          <w:rFonts w:hint="eastAsia" w:ascii="Times New Roman" w:hAnsi="Times New Roman" w:cs="Times New Roman"/>
          <w:color w:val="auto"/>
          <w:sz w:val="28"/>
          <w:szCs w:val="28"/>
          <w:highlight w:val="none"/>
          <w:lang w:bidi="th-TH"/>
        </w:rPr>
        <w:t>目</w:t>
      </w:r>
      <w:r>
        <w:rPr>
          <w:rFonts w:ascii="Times New Roman" w:hAnsi="Times New Roman" w:cs="Times New Roman"/>
          <w:color w:val="auto"/>
          <w:sz w:val="28"/>
          <w:szCs w:val="28"/>
          <w:highlight w:val="none"/>
          <w:lang w:bidi="th-TH"/>
        </w:rPr>
        <w:t>标和指标应可测量，应符合健康、安全与环境方针及战略（总）目标，并考虑对遵守法规、污染预防、事故预防和持续改进的承诺</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组织应制定、实施并保持旨在实现其目标和指标以及针对特定的活动、产品或服务健康、安全与环境管理的方案，方案应形成文件</w:t>
      </w:r>
      <w:r>
        <w:rPr>
          <w:rFonts w:hint="eastAsia" w:ascii="Times New Roman" w:hAnsi="Times New Roman" w:cs="Times New Roman"/>
          <w:color w:val="auto"/>
          <w:sz w:val="28"/>
          <w:szCs w:val="28"/>
          <w:highlight w:val="none"/>
          <w:lang w:bidi="th-TH"/>
        </w:rPr>
        <w:t>。</w:t>
      </w:r>
    </w:p>
    <w:p>
      <w:pPr>
        <w:ind w:firstLine="560" w:firstLineChars="200"/>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bidi="th-TH"/>
        </w:rPr>
        <w:t>（4）组织结构、职责、资源和文件：</w:t>
      </w:r>
      <w:r>
        <w:rPr>
          <w:rFonts w:ascii="Times New Roman" w:hAnsi="Times New Roman" w:cs="Times New Roman"/>
          <w:color w:val="auto"/>
          <w:sz w:val="28"/>
          <w:szCs w:val="28"/>
          <w:highlight w:val="none"/>
          <w:lang w:bidi="th-TH"/>
        </w:rPr>
        <w:t>组织应确定与健康、安全、环境风险和影响有关的各级职能和层次及岗位的作用、职责和权限，形成文件和予以沟通，便于健康、安全与环境管理。管理者应为建立、实施、保持和持续改进健康、安全与环境管理体系提供必要的资源，包括但不限于以下：基础设施</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人力资源</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专项技能</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技术资源</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财力资源</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组织应对健康、安全与环境管理体系文件进行策划，包括文件的结构、目录或数量等，文件宜以管理手册、程序文件、作业文件等形式完成。</w:t>
      </w:r>
    </w:p>
    <w:p>
      <w:pPr>
        <w:ind w:firstLine="560" w:firstLineChars="200"/>
        <w:rPr>
          <w:rFonts w:ascii="Times New Roman" w:hAnsi="Times New Roman" w:cs="Times New Roman"/>
          <w:bCs/>
          <w:color w:val="auto"/>
          <w:sz w:val="28"/>
          <w:szCs w:val="28"/>
          <w:highlight w:val="none"/>
          <w:lang w:bidi="th-TH"/>
        </w:rPr>
      </w:pPr>
      <w:r>
        <w:rPr>
          <w:rFonts w:hint="eastAsia" w:ascii="Times New Roman" w:hAnsi="Times New Roman" w:eastAsia="宋体"/>
          <w:bCs/>
          <w:color w:val="auto"/>
          <w:sz w:val="28"/>
          <w:highlight w:val="none"/>
        </w:rPr>
        <w:t>（5）实施和运行</w:t>
      </w:r>
      <w:r>
        <w:rPr>
          <w:rFonts w:hint="eastAsia" w:ascii="Times New Roman" w:hAnsi="Times New Roman" w:cs="Times New Roman"/>
          <w:bCs/>
          <w:color w:val="auto"/>
          <w:sz w:val="28"/>
          <w:szCs w:val="28"/>
          <w:highlight w:val="none"/>
          <w:lang w:bidi="th-TH"/>
        </w:rPr>
        <w:t>：</w:t>
      </w:r>
      <w:r>
        <w:rPr>
          <w:rFonts w:ascii="Times New Roman" w:hAnsi="Times New Roman" w:cs="Times New Roman"/>
          <w:color w:val="auto"/>
          <w:sz w:val="28"/>
          <w:szCs w:val="28"/>
          <w:highlight w:val="none"/>
          <w:lang w:bidi="th-TH"/>
        </w:rPr>
        <w:t>组织应建立、实施和保持程序，以确保对设备设施的设计、建造、采购、安装、操作、维修维护和检查等达到的准则要求</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组织应建立、实施和保持程序，为工作场所的人员提供符合职业健康要求的工作环境和条件，配备与职业健康相适应的设施、工具和个人劳动防护用品，定期对作业场所职业危害进行检测，对相关人员组织健康体检。对可能发生急性职业危害的有毒、有害工作场所，应采取应急准备和响应措施。组织应确定那些与已辨识的，需实施必要控制措施的风险相关的运行和活动任务，并且不同职能和层次的管理者应针对这些活动任务进行策划，确保其在相应程序和工作指南规定的条件下执行。</w:t>
      </w:r>
    </w:p>
    <w:p>
      <w:pPr>
        <w:ind w:firstLine="560" w:firstLineChars="200"/>
        <w:rPr>
          <w:rFonts w:hint="eastAsia" w:ascii="Times New Roman" w:hAnsi="Times New Roman" w:cs="Times New Roman"/>
          <w:bCs/>
          <w:color w:val="auto"/>
          <w:sz w:val="28"/>
          <w:szCs w:val="28"/>
          <w:highlight w:val="none"/>
          <w:lang w:bidi="th-TH"/>
        </w:rPr>
      </w:pPr>
      <w:r>
        <w:rPr>
          <w:rFonts w:hint="eastAsia" w:ascii="Times New Roman" w:hAnsi="Times New Roman" w:cs="Times New Roman"/>
          <w:bCs/>
          <w:color w:val="auto"/>
          <w:sz w:val="28"/>
          <w:szCs w:val="28"/>
          <w:highlight w:val="none"/>
          <w:lang w:bidi="th-TH"/>
        </w:rPr>
        <w:t>（6）检查，包括</w:t>
      </w:r>
      <w:r>
        <w:rPr>
          <w:rFonts w:ascii="Times New Roman" w:hAnsi="Times New Roman" w:cs="Times New Roman"/>
          <w:color w:val="auto"/>
          <w:sz w:val="28"/>
          <w:szCs w:val="28"/>
          <w:highlight w:val="none"/>
          <w:lang w:bidi="th-TH"/>
        </w:rPr>
        <w:t>绩效测量和监视</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合规性评价</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不符合、纠正措施和预防措施</w:t>
      </w:r>
      <w:r>
        <w:rPr>
          <w:rFonts w:hint="eastAsia" w:ascii="Times New Roman" w:hAnsi="Times New Roman" w:cs="Times New Roman"/>
          <w:color w:val="auto"/>
          <w:sz w:val="28"/>
          <w:szCs w:val="28"/>
          <w:highlight w:val="none"/>
          <w:lang w:bidi="th-TH"/>
        </w:rPr>
        <w:t>、</w:t>
      </w:r>
      <w:r>
        <w:rPr>
          <w:rFonts w:ascii="Times New Roman" w:hAnsi="Times New Roman" w:cs="Times New Roman"/>
          <w:color w:val="auto"/>
          <w:sz w:val="28"/>
          <w:szCs w:val="28"/>
          <w:highlight w:val="none"/>
          <w:lang w:bidi="th-TH"/>
        </w:rPr>
        <w:t>事故、事件管理</w:t>
      </w:r>
      <w:r>
        <w:rPr>
          <w:rFonts w:hint="eastAsia" w:ascii="Times New Roman" w:hAnsi="Times New Roman" w:cs="Times New Roman"/>
          <w:bCs/>
          <w:color w:val="auto"/>
          <w:sz w:val="28"/>
          <w:szCs w:val="28"/>
          <w:highlight w:val="none"/>
          <w:lang w:bidi="th-TH"/>
        </w:rPr>
        <w:t>、</w:t>
      </w:r>
      <w:r>
        <w:rPr>
          <w:rFonts w:ascii="Times New Roman" w:hAnsi="Times New Roman" w:cs="Times New Roman"/>
          <w:color w:val="auto"/>
          <w:sz w:val="28"/>
          <w:szCs w:val="28"/>
          <w:highlight w:val="none"/>
          <w:lang w:bidi="th-TH"/>
        </w:rPr>
        <w:t>记录控制</w:t>
      </w:r>
      <w:r>
        <w:rPr>
          <w:rFonts w:hint="eastAsia" w:ascii="Times New Roman" w:hAnsi="Times New Roman" w:cs="Times New Roman"/>
          <w:bCs/>
          <w:color w:val="auto"/>
          <w:sz w:val="28"/>
          <w:szCs w:val="28"/>
          <w:highlight w:val="none"/>
          <w:lang w:bidi="th-TH"/>
        </w:rPr>
        <w:t>、</w:t>
      </w:r>
      <w:r>
        <w:rPr>
          <w:rFonts w:ascii="Times New Roman" w:hAnsi="Times New Roman" w:cs="Times New Roman"/>
          <w:color w:val="auto"/>
          <w:sz w:val="28"/>
          <w:szCs w:val="28"/>
          <w:highlight w:val="none"/>
          <w:lang w:bidi="th-TH"/>
        </w:rPr>
        <w:t>内部审核</w:t>
      </w:r>
      <w:r>
        <w:rPr>
          <w:rFonts w:hint="eastAsia" w:ascii="Times New Roman" w:hAnsi="Times New Roman" w:cs="Times New Roman"/>
          <w:bCs/>
          <w:color w:val="auto"/>
          <w:sz w:val="28"/>
          <w:szCs w:val="28"/>
          <w:highlight w:val="none"/>
          <w:lang w:bidi="th-TH"/>
        </w:rPr>
        <w:t>、</w:t>
      </w:r>
      <w:r>
        <w:rPr>
          <w:rFonts w:ascii="Times New Roman" w:hAnsi="Times New Roman" w:cs="Times New Roman"/>
          <w:color w:val="auto"/>
          <w:sz w:val="28"/>
          <w:szCs w:val="28"/>
          <w:highlight w:val="none"/>
          <w:lang w:bidi="th-TH"/>
        </w:rPr>
        <w:t>管理评审</w:t>
      </w:r>
      <w:r>
        <w:rPr>
          <w:rFonts w:hint="eastAsia" w:ascii="Times New Roman" w:hAnsi="Times New Roman" w:cs="Times New Roman"/>
          <w:color w:val="auto"/>
          <w:sz w:val="28"/>
          <w:szCs w:val="28"/>
          <w:highlight w:val="none"/>
          <w:lang w:bidi="th-TH"/>
        </w:rPr>
        <w:t>等</w:t>
      </w:r>
      <w:r>
        <w:rPr>
          <w:rFonts w:hint="eastAsia" w:ascii="Times New Roman" w:hAnsi="Times New Roman" w:cs="Times New Roman"/>
          <w:bCs/>
          <w:color w:val="auto"/>
          <w:sz w:val="28"/>
          <w:szCs w:val="28"/>
          <w:highlight w:val="none"/>
          <w:lang w:bidi="th-TH"/>
        </w:rPr>
        <w:t>。</w:t>
      </w:r>
    </w:p>
    <w:p>
      <w:pPr>
        <w:rPr>
          <w:rFonts w:hint="eastAsia" w:ascii="Times New Roman" w:hAnsi="Times New Roman" w:cs="Times New Roman"/>
          <w:bCs/>
          <w:color w:val="auto"/>
          <w:sz w:val="28"/>
          <w:szCs w:val="28"/>
          <w:highlight w:val="none"/>
          <w:lang w:val="en-US" w:eastAsia="zh-CN" w:bidi="th-TH"/>
        </w:rPr>
      </w:pPr>
    </w:p>
    <w:p>
      <w:pPr>
        <w:pStyle w:val="2"/>
        <w:bidi w:val="0"/>
        <w:rPr>
          <w:rFonts w:hint="default" w:ascii="Times New Roman" w:hAnsi="Times New Roman" w:cs="Times New Roman"/>
          <w:bCs/>
          <w:color w:val="auto"/>
          <w:sz w:val="28"/>
          <w:szCs w:val="28"/>
          <w:highlight w:val="none"/>
          <w:lang w:val="en-US" w:eastAsia="zh-CN" w:bidi="th-TH"/>
        </w:rPr>
      </w:pPr>
      <w:bookmarkStart w:id="89" w:name="_Toc15740"/>
      <w:r>
        <w:rPr>
          <w:rFonts w:hint="eastAsia"/>
          <w:color w:val="auto"/>
          <w:highlight w:val="none"/>
          <w:lang w:val="en-US" w:eastAsia="zh-CN"/>
        </w:rPr>
        <w:t>第九章  燃气设施的安全保护</w:t>
      </w:r>
      <w:bookmarkEnd w:id="89"/>
    </w:p>
    <w:p>
      <w:pPr>
        <w:pStyle w:val="3"/>
        <w:rPr>
          <w:rFonts w:ascii="Times New Roman" w:hAnsi="Times New Roman"/>
          <w:color w:val="auto"/>
          <w:kern w:val="44"/>
          <w:szCs w:val="44"/>
          <w:highlight w:val="none"/>
        </w:rPr>
      </w:pPr>
      <w:bookmarkStart w:id="90" w:name="_Toc59549699"/>
      <w:bookmarkStart w:id="91" w:name="_Toc31333"/>
      <w:bookmarkStart w:id="92" w:name="_Toc19727"/>
      <w:r>
        <w:rPr>
          <w:rFonts w:ascii="Times New Roman" w:hAnsi="Times New Roman"/>
          <w:color w:val="auto"/>
          <w:kern w:val="44"/>
          <w:szCs w:val="44"/>
          <w:highlight w:val="none"/>
        </w:rPr>
        <w:t>第</w:t>
      </w:r>
      <w:r>
        <w:rPr>
          <w:rFonts w:hint="eastAsia" w:ascii="Times New Roman" w:hAnsi="Times New Roman"/>
          <w:color w:val="auto"/>
          <w:kern w:val="44"/>
          <w:szCs w:val="44"/>
          <w:highlight w:val="none"/>
        </w:rPr>
        <w:t>三十</w:t>
      </w:r>
      <w:r>
        <w:rPr>
          <w:rFonts w:hint="eastAsia" w:ascii="Times New Roman" w:hAnsi="Times New Roman"/>
          <w:color w:val="auto"/>
          <w:kern w:val="44"/>
          <w:szCs w:val="44"/>
          <w:highlight w:val="none"/>
          <w:lang w:val="en-US" w:eastAsia="zh-CN"/>
        </w:rPr>
        <w:t>四</w:t>
      </w:r>
      <w:r>
        <w:rPr>
          <w:rFonts w:ascii="Times New Roman" w:hAnsi="Times New Roman"/>
          <w:color w:val="auto"/>
          <w:kern w:val="44"/>
          <w:szCs w:val="44"/>
          <w:highlight w:val="none"/>
        </w:rPr>
        <w:t>条：燃气设施</w:t>
      </w:r>
      <w:bookmarkEnd w:id="90"/>
      <w:bookmarkEnd w:id="91"/>
      <w:r>
        <w:rPr>
          <w:rFonts w:hint="eastAsia" w:ascii="Times New Roman" w:hAnsi="Times New Roman"/>
          <w:color w:val="auto"/>
          <w:kern w:val="44"/>
          <w:szCs w:val="44"/>
          <w:highlight w:val="none"/>
        </w:rPr>
        <w:t>保护</w:t>
      </w:r>
      <w:bookmarkEnd w:id="92"/>
    </w:p>
    <w:p>
      <w:pPr>
        <w:pStyle w:val="7"/>
        <w:ind w:firstLine="560"/>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bidi="th-TH"/>
        </w:rPr>
        <w:t>1、</w:t>
      </w:r>
      <w:r>
        <w:rPr>
          <w:rFonts w:ascii="Times New Roman" w:hAnsi="Times New Roman"/>
          <w:color w:val="auto"/>
          <w:sz w:val="28"/>
          <w:szCs w:val="28"/>
          <w:highlight w:val="none"/>
          <w:lang w:bidi="th-TH"/>
        </w:rPr>
        <w:t>燃气设施是重要的基础设施，受法律保护，任何单位和个人不得侵占、毁损、擅自拆除或者移动，不得毁损、覆盖、涂改、擅自拆除或者移动其安全警示标志。城镇燃气设施包括以下内容：</w:t>
      </w:r>
    </w:p>
    <w:p>
      <w:pPr>
        <w:pStyle w:val="7"/>
        <w:ind w:firstLine="560"/>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eastAsia="zh-CN" w:bidi="th-TH"/>
        </w:rPr>
        <w:t>（</w:t>
      </w:r>
      <w:r>
        <w:rPr>
          <w:rFonts w:hint="eastAsia" w:ascii="Times New Roman" w:hAnsi="Times New Roman"/>
          <w:color w:val="auto"/>
          <w:sz w:val="28"/>
          <w:szCs w:val="28"/>
          <w:highlight w:val="none"/>
          <w:lang w:val="en-US" w:eastAsia="zh-CN" w:bidi="th-TH"/>
        </w:rPr>
        <w:t>1</w:t>
      </w:r>
      <w:r>
        <w:rPr>
          <w:rFonts w:hint="eastAsia" w:ascii="Times New Roman" w:hAnsi="Times New Roman"/>
          <w:color w:val="auto"/>
          <w:sz w:val="28"/>
          <w:szCs w:val="28"/>
          <w:highlight w:val="none"/>
          <w:lang w:eastAsia="zh-CN" w:bidi="th-TH"/>
        </w:rPr>
        <w:t>）</w:t>
      </w:r>
      <w:r>
        <w:rPr>
          <w:rFonts w:ascii="Times New Roman" w:hAnsi="Times New Roman"/>
          <w:color w:val="auto"/>
          <w:sz w:val="28"/>
          <w:szCs w:val="28"/>
          <w:highlight w:val="none"/>
          <w:lang w:bidi="th-TH"/>
        </w:rPr>
        <w:t>液化石油气供应基地、液化石油气气化站（含瓶组站）和混气站、天然气储配站、天然气气化站、燃气机动车加气站、瓶装液化石油气供应站等；</w:t>
      </w:r>
    </w:p>
    <w:p>
      <w:pPr>
        <w:pStyle w:val="7"/>
        <w:ind w:firstLine="560"/>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eastAsia="zh-CN" w:bidi="th-TH"/>
        </w:rPr>
        <w:t>（</w:t>
      </w:r>
      <w:r>
        <w:rPr>
          <w:rFonts w:hint="eastAsia" w:ascii="Times New Roman" w:hAnsi="Times New Roman"/>
          <w:color w:val="auto"/>
          <w:sz w:val="28"/>
          <w:szCs w:val="28"/>
          <w:highlight w:val="none"/>
          <w:lang w:val="en-US" w:eastAsia="zh-CN" w:bidi="th-TH"/>
        </w:rPr>
        <w:t>2</w:t>
      </w:r>
      <w:r>
        <w:rPr>
          <w:rFonts w:hint="eastAsia" w:ascii="Times New Roman" w:hAnsi="Times New Roman"/>
          <w:color w:val="auto"/>
          <w:sz w:val="28"/>
          <w:szCs w:val="28"/>
          <w:highlight w:val="none"/>
          <w:lang w:eastAsia="zh-CN" w:bidi="th-TH"/>
        </w:rPr>
        <w:t>）</w:t>
      </w:r>
      <w:r>
        <w:rPr>
          <w:rFonts w:ascii="Times New Roman" w:hAnsi="Times New Roman"/>
          <w:color w:val="auto"/>
          <w:sz w:val="28"/>
          <w:szCs w:val="28"/>
          <w:highlight w:val="none"/>
          <w:lang w:bidi="th-TH"/>
        </w:rPr>
        <w:t>输送天然气、人工煤气、液化石油气的管道；</w:t>
      </w:r>
    </w:p>
    <w:p>
      <w:pPr>
        <w:pStyle w:val="7"/>
        <w:ind w:firstLine="560"/>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eastAsia="zh-CN" w:bidi="th-TH"/>
        </w:rPr>
        <w:t>（</w:t>
      </w:r>
      <w:r>
        <w:rPr>
          <w:rFonts w:hint="eastAsia" w:ascii="Times New Roman" w:hAnsi="Times New Roman"/>
          <w:color w:val="auto"/>
          <w:sz w:val="28"/>
          <w:szCs w:val="28"/>
          <w:highlight w:val="none"/>
          <w:lang w:val="en-US" w:eastAsia="zh-CN" w:bidi="th-TH"/>
        </w:rPr>
        <w:t>3</w:t>
      </w:r>
      <w:r>
        <w:rPr>
          <w:rFonts w:hint="eastAsia" w:ascii="Times New Roman" w:hAnsi="Times New Roman"/>
          <w:color w:val="auto"/>
          <w:sz w:val="28"/>
          <w:szCs w:val="28"/>
          <w:highlight w:val="none"/>
          <w:lang w:eastAsia="zh-CN" w:bidi="th-TH"/>
        </w:rPr>
        <w:t>）</w:t>
      </w:r>
      <w:r>
        <w:rPr>
          <w:rFonts w:ascii="Times New Roman" w:hAnsi="Times New Roman"/>
          <w:color w:val="auto"/>
          <w:sz w:val="28"/>
          <w:szCs w:val="28"/>
          <w:highlight w:val="none"/>
          <w:lang w:bidi="th-TH"/>
        </w:rPr>
        <w:t>管道防腐保护设施，包括阴极保护站、阴极保护测试桩、阳极地床和杂散电流排流站等；</w:t>
      </w:r>
    </w:p>
    <w:p>
      <w:pPr>
        <w:pStyle w:val="7"/>
        <w:ind w:firstLine="560"/>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eastAsia="zh-CN" w:bidi="th-TH"/>
        </w:rPr>
        <w:t>（</w:t>
      </w:r>
      <w:r>
        <w:rPr>
          <w:rFonts w:hint="eastAsia" w:ascii="Times New Roman" w:hAnsi="Times New Roman"/>
          <w:color w:val="auto"/>
          <w:sz w:val="28"/>
          <w:szCs w:val="28"/>
          <w:highlight w:val="none"/>
          <w:lang w:val="en-US" w:eastAsia="zh-CN" w:bidi="th-TH"/>
        </w:rPr>
        <w:t>4</w:t>
      </w:r>
      <w:r>
        <w:rPr>
          <w:rFonts w:hint="eastAsia" w:ascii="Times New Roman" w:hAnsi="Times New Roman"/>
          <w:color w:val="auto"/>
          <w:sz w:val="28"/>
          <w:szCs w:val="28"/>
          <w:highlight w:val="none"/>
          <w:lang w:eastAsia="zh-CN" w:bidi="th-TH"/>
        </w:rPr>
        <w:t>）</w:t>
      </w:r>
      <w:r>
        <w:rPr>
          <w:rFonts w:ascii="Times New Roman" w:hAnsi="Times New Roman"/>
          <w:color w:val="auto"/>
          <w:sz w:val="28"/>
          <w:szCs w:val="28"/>
          <w:highlight w:val="none"/>
          <w:lang w:bidi="th-TH"/>
        </w:rPr>
        <w:t>门站、调压站（柜）、计量站、阀门（室）、凝水井（缸）等燃气管道附属构筑物，以及补偿器、放散管等相关设备；</w:t>
      </w:r>
    </w:p>
    <w:p>
      <w:pPr>
        <w:pStyle w:val="7"/>
        <w:ind w:firstLine="560"/>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eastAsia="zh-CN" w:bidi="th-TH"/>
        </w:rPr>
        <w:t>（</w:t>
      </w:r>
      <w:r>
        <w:rPr>
          <w:rFonts w:hint="eastAsia" w:ascii="Times New Roman" w:hAnsi="Times New Roman"/>
          <w:color w:val="auto"/>
          <w:sz w:val="28"/>
          <w:szCs w:val="28"/>
          <w:highlight w:val="none"/>
          <w:lang w:val="en-US" w:eastAsia="zh-CN" w:bidi="th-TH"/>
        </w:rPr>
        <w:t>5</w:t>
      </w:r>
      <w:r>
        <w:rPr>
          <w:rFonts w:hint="eastAsia" w:ascii="Times New Roman" w:hAnsi="Times New Roman"/>
          <w:color w:val="auto"/>
          <w:sz w:val="28"/>
          <w:szCs w:val="28"/>
          <w:highlight w:val="none"/>
          <w:lang w:eastAsia="zh-CN" w:bidi="th-TH"/>
        </w:rPr>
        <w:t>）</w:t>
      </w:r>
      <w:r>
        <w:rPr>
          <w:rFonts w:ascii="Times New Roman" w:hAnsi="Times New Roman"/>
          <w:color w:val="auto"/>
          <w:sz w:val="28"/>
          <w:szCs w:val="28"/>
          <w:highlight w:val="none"/>
          <w:lang w:bidi="th-TH"/>
        </w:rPr>
        <w:t>管堤、管桥、管基等与燃气管道相关的固定装置；</w:t>
      </w:r>
    </w:p>
    <w:p>
      <w:pPr>
        <w:pStyle w:val="7"/>
        <w:ind w:firstLine="560"/>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eastAsia="zh-CN" w:bidi="th-TH"/>
        </w:rPr>
        <w:t>（</w:t>
      </w:r>
      <w:r>
        <w:rPr>
          <w:rFonts w:hint="eastAsia" w:ascii="Times New Roman" w:hAnsi="Times New Roman"/>
          <w:color w:val="auto"/>
          <w:sz w:val="28"/>
          <w:szCs w:val="28"/>
          <w:highlight w:val="none"/>
          <w:lang w:val="en-US" w:eastAsia="zh-CN" w:bidi="th-TH"/>
        </w:rPr>
        <w:t>6</w:t>
      </w:r>
      <w:r>
        <w:rPr>
          <w:rFonts w:hint="eastAsia" w:ascii="Times New Roman" w:hAnsi="Times New Roman"/>
          <w:color w:val="auto"/>
          <w:sz w:val="28"/>
          <w:szCs w:val="28"/>
          <w:highlight w:val="none"/>
          <w:lang w:eastAsia="zh-CN" w:bidi="th-TH"/>
        </w:rPr>
        <w:t>）</w:t>
      </w:r>
      <w:r>
        <w:rPr>
          <w:rFonts w:ascii="Times New Roman" w:hAnsi="Times New Roman"/>
          <w:color w:val="auto"/>
          <w:sz w:val="28"/>
          <w:szCs w:val="28"/>
          <w:highlight w:val="none"/>
          <w:lang w:bidi="th-TH"/>
        </w:rPr>
        <w:t>禁止标志、警告标志、指令标志、提示标志、地面标志、地上标志、地下标</w:t>
      </w:r>
      <w:r>
        <w:rPr>
          <w:rFonts w:hint="eastAsia" w:ascii="Times New Roman" w:hAnsi="Times New Roman"/>
          <w:color w:val="auto"/>
          <w:sz w:val="28"/>
          <w:szCs w:val="28"/>
          <w:highlight w:val="none"/>
          <w:lang w:bidi="th-TH"/>
        </w:rPr>
        <w:t>。</w:t>
      </w:r>
    </w:p>
    <w:p>
      <w:pPr>
        <w:pStyle w:val="7"/>
        <w:ind w:firstLine="560"/>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bidi="th-TH"/>
        </w:rPr>
        <w:t>2、燃气设施的安全保护范围</w:t>
      </w:r>
    </w:p>
    <w:p>
      <w:pPr>
        <w:ind w:firstLine="560" w:firstLineChars="20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在燃气设施保护范围内，有关单位从事敷设管道、打桩、顶进、挖掘、钻探等可能影响燃气设施安全活动的，应当与燃气经营者共同制定燃气设施保护方案，并采取相应的安全保护措施。</w:t>
      </w:r>
    </w:p>
    <w:p>
      <w:pPr>
        <w:pStyle w:val="7"/>
        <w:ind w:firstLine="560"/>
        <w:rPr>
          <w:rFonts w:ascii="Times New Roman" w:hAnsi="Times New Roman"/>
          <w:color w:val="auto"/>
          <w:sz w:val="28"/>
          <w:szCs w:val="28"/>
          <w:highlight w:val="none"/>
          <w:lang w:bidi="th-TH"/>
        </w:rPr>
      </w:pPr>
      <w:r>
        <w:rPr>
          <w:rFonts w:ascii="Times New Roman" w:hAnsi="Times New Roman"/>
          <w:color w:val="auto"/>
          <w:sz w:val="28"/>
          <w:szCs w:val="28"/>
          <w:highlight w:val="none"/>
          <w:lang w:bidi="th-TH"/>
        </w:rPr>
        <w:t>3</w:t>
      </w:r>
      <w:r>
        <w:rPr>
          <w:rFonts w:hint="eastAsia" w:ascii="Times New Roman" w:hAnsi="Times New Roman"/>
          <w:color w:val="auto"/>
          <w:sz w:val="28"/>
          <w:szCs w:val="28"/>
          <w:highlight w:val="none"/>
          <w:lang w:bidi="th-TH"/>
        </w:rPr>
        <w:t>、在燃气设施的安全保护范围内，禁止下列行为</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（1）建设占压地下燃气管线的建筑物、构筑物或其他设施；</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（2）进行爆破、取土等作业或者动用明火；</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（3）倾倒、排放腐蚀性物质；</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（4）放置易燃易爆危险物品或者种植深根植物；</w:t>
      </w:r>
    </w:p>
    <w:p>
      <w:pPr>
        <w:ind w:firstLine="560" w:firstLineChars="200"/>
        <w:rPr>
          <w:rFonts w:ascii="Times New Roman" w:hAnsi="Times New Roman" w:cs="Times New Roman"/>
          <w:color w:val="auto"/>
          <w:sz w:val="28"/>
          <w:szCs w:val="28"/>
          <w:highlight w:val="none"/>
          <w:lang w:bidi="th-TH"/>
        </w:rPr>
      </w:pPr>
      <w:r>
        <w:rPr>
          <w:rFonts w:ascii="Times New Roman" w:hAnsi="Times New Roman" w:cs="Times New Roman"/>
          <w:color w:val="auto"/>
          <w:sz w:val="28"/>
          <w:szCs w:val="28"/>
          <w:highlight w:val="none"/>
          <w:lang w:bidi="th-TH"/>
        </w:rPr>
        <w:t>（5）其他危及燃气设施安全的活动</w:t>
      </w:r>
    </w:p>
    <w:p>
      <w:pPr>
        <w:pStyle w:val="7"/>
        <w:ind w:firstLine="560"/>
        <w:rPr>
          <w:rFonts w:ascii="Times New Roman" w:hAnsi="Times New Roman"/>
          <w:color w:val="auto"/>
          <w:sz w:val="28"/>
          <w:szCs w:val="28"/>
          <w:highlight w:val="none"/>
          <w:lang w:bidi="th-TH"/>
        </w:rPr>
      </w:pPr>
      <w:r>
        <w:rPr>
          <w:rFonts w:hint="eastAsia" w:ascii="Times New Roman" w:hAnsi="Times New Roman"/>
          <w:color w:val="auto"/>
          <w:sz w:val="28"/>
          <w:szCs w:val="28"/>
          <w:highlight w:val="none"/>
          <w:lang w:bidi="th-TH"/>
        </w:rPr>
        <w:t>4、在燃气设施的安全控制范围或安全保护内限制行为</w:t>
      </w:r>
    </w:p>
    <w:p>
      <w:pPr>
        <w:ind w:firstLine="560" w:firstLineChars="200"/>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（1）</w:t>
      </w:r>
      <w:r>
        <w:rPr>
          <w:rFonts w:ascii="Times New Roman" w:hAnsi="Times New Roman" w:cs="Times New Roman"/>
          <w:color w:val="auto"/>
          <w:sz w:val="28"/>
          <w:szCs w:val="28"/>
          <w:highlight w:val="none"/>
        </w:rPr>
        <w:t>敷设管道，从事打桩、挖掘、顶进作业。</w:t>
      </w:r>
    </w:p>
    <w:p>
      <w:pPr>
        <w:ind w:firstLine="560" w:firstLineChars="200"/>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（2）</w:t>
      </w:r>
      <w:r>
        <w:rPr>
          <w:rFonts w:ascii="Times New Roman" w:hAnsi="Times New Roman" w:cs="Times New Roman"/>
          <w:color w:val="auto"/>
          <w:sz w:val="28"/>
          <w:szCs w:val="28"/>
          <w:highlight w:val="none"/>
        </w:rPr>
        <w:t>建造建筑物或者构筑物。</w:t>
      </w:r>
    </w:p>
    <w:p>
      <w:pPr>
        <w:ind w:firstLine="560" w:firstLineChars="200"/>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（3）</w:t>
      </w:r>
      <w:r>
        <w:rPr>
          <w:rFonts w:ascii="Times New Roman" w:hAnsi="Times New Roman" w:cs="Times New Roman"/>
          <w:color w:val="auto"/>
          <w:sz w:val="28"/>
          <w:szCs w:val="28"/>
          <w:highlight w:val="none"/>
        </w:rPr>
        <w:t>进行爆破作业。</w:t>
      </w:r>
    </w:p>
    <w:p>
      <w:pPr>
        <w:ind w:firstLine="560" w:firstLineChars="200"/>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（4）</w:t>
      </w:r>
      <w:r>
        <w:rPr>
          <w:rFonts w:ascii="Times New Roman" w:hAnsi="Times New Roman" w:cs="Times New Roman"/>
          <w:color w:val="auto"/>
          <w:sz w:val="28"/>
          <w:szCs w:val="28"/>
          <w:highlight w:val="none"/>
        </w:rPr>
        <w:t>可能产生威胁燃气设施安全的其他活动。</w:t>
      </w:r>
      <w:bookmarkEnd w:id="78"/>
      <w:bookmarkEnd w:id="79"/>
      <w:bookmarkStart w:id="93" w:name="_Toc98607916"/>
    </w:p>
    <w:p>
      <w:pPr>
        <w:rPr>
          <w:rFonts w:hint="eastAsia" w:ascii="Times New Roman" w:hAnsi="Times New Roman" w:cs="Times New Roman"/>
          <w:color w:val="auto"/>
          <w:sz w:val="28"/>
          <w:szCs w:val="28"/>
          <w:highlight w:val="none"/>
        </w:rPr>
      </w:pPr>
    </w:p>
    <w:p>
      <w:pPr>
        <w:pStyle w:val="2"/>
        <w:rPr>
          <w:rFonts w:hint="eastAsia" w:eastAsia="宋体"/>
          <w:color w:val="auto"/>
          <w:highlight w:val="none"/>
          <w:lang w:eastAsia="zh-CN"/>
        </w:rPr>
      </w:pPr>
      <w:bookmarkStart w:id="94" w:name="_Toc9363"/>
      <w:r>
        <w:rPr>
          <w:rFonts w:hint="eastAsia"/>
          <w:color w:val="auto"/>
          <w:highlight w:val="none"/>
        </w:rPr>
        <w:t xml:space="preserve">第十章 </w:t>
      </w:r>
      <w:bookmarkEnd w:id="93"/>
      <w:r>
        <w:rPr>
          <w:color w:val="auto"/>
          <w:highlight w:val="none"/>
        </w:rPr>
        <w:t xml:space="preserve"> </w:t>
      </w:r>
      <w:r>
        <w:rPr>
          <w:rFonts w:hint="eastAsia"/>
          <w:color w:val="auto"/>
          <w:highlight w:val="none"/>
          <w:lang w:val="en-US" w:eastAsia="zh-CN"/>
        </w:rPr>
        <w:t>规划实施</w:t>
      </w:r>
      <w:bookmarkEnd w:id="94"/>
    </w:p>
    <w:p>
      <w:pPr>
        <w:pStyle w:val="3"/>
        <w:rPr>
          <w:color w:val="auto"/>
          <w:highlight w:val="none"/>
        </w:rPr>
      </w:pPr>
      <w:bookmarkStart w:id="95" w:name="_Toc131"/>
      <w:r>
        <w:rPr>
          <w:rFonts w:hint="eastAsia"/>
          <w:color w:val="auto"/>
          <w:highlight w:val="none"/>
        </w:rPr>
        <w:t>第三十</w:t>
      </w:r>
      <w:r>
        <w:rPr>
          <w:rFonts w:hint="eastAsia"/>
          <w:color w:val="auto"/>
          <w:highlight w:val="none"/>
          <w:lang w:val="en-US" w:eastAsia="zh-CN"/>
        </w:rPr>
        <w:t>五</w:t>
      </w:r>
      <w:r>
        <w:rPr>
          <w:rFonts w:hint="eastAsia"/>
          <w:color w:val="auto"/>
          <w:highlight w:val="none"/>
        </w:rPr>
        <w:t>条：规划实施进度</w:t>
      </w:r>
      <w:bookmarkEnd w:id="95"/>
    </w:p>
    <w:p>
      <w:pPr>
        <w:pStyle w:val="7"/>
        <w:ind w:firstLine="560"/>
        <w:rPr>
          <w:rFonts w:hint="eastAsia" w:ascii="Times New Roman" w:hAnsi="Times New Roman"/>
          <w:color w:val="0000FF"/>
          <w:sz w:val="28"/>
          <w:szCs w:val="28"/>
          <w:highlight w:val="none"/>
          <w:lang w:bidi="th-TH"/>
        </w:rPr>
      </w:pPr>
      <w:r>
        <w:rPr>
          <w:rFonts w:ascii="Times New Roman" w:hAnsi="Times New Roman"/>
          <w:color w:val="0000FF"/>
          <w:sz w:val="28"/>
          <w:szCs w:val="28"/>
          <w:highlight w:val="none"/>
          <w:lang w:bidi="th-TH"/>
        </w:rPr>
        <w:t>至</w:t>
      </w:r>
      <w:r>
        <w:rPr>
          <w:rFonts w:hint="eastAsia" w:ascii="Times New Roman" w:hAnsi="Times New Roman"/>
          <w:color w:val="0000FF"/>
          <w:sz w:val="28"/>
          <w:szCs w:val="28"/>
          <w:highlight w:val="none"/>
          <w:lang w:val="en-US" w:eastAsia="zh-CN" w:bidi="th-TH"/>
        </w:rPr>
        <w:t>近期规划</w:t>
      </w:r>
      <w:r>
        <w:rPr>
          <w:rFonts w:hint="eastAsia" w:ascii="Times New Roman" w:hAnsi="Times New Roman"/>
          <w:color w:val="0000FF"/>
          <w:sz w:val="28"/>
          <w:szCs w:val="28"/>
          <w:highlight w:val="none"/>
          <w:lang w:bidi="th-TH"/>
        </w:rPr>
        <w:t>期末</w:t>
      </w:r>
      <w:r>
        <w:rPr>
          <w:rFonts w:ascii="Times New Roman" w:hAnsi="Times New Roman"/>
          <w:color w:val="0000FF"/>
          <w:sz w:val="28"/>
          <w:szCs w:val="28"/>
          <w:highlight w:val="none"/>
          <w:lang w:bidi="th-TH"/>
        </w:rPr>
        <w:t>（20</w:t>
      </w:r>
      <w:r>
        <w:rPr>
          <w:rFonts w:hint="eastAsia" w:ascii="Times New Roman" w:hAnsi="Times New Roman"/>
          <w:color w:val="0000FF"/>
          <w:sz w:val="28"/>
          <w:szCs w:val="28"/>
          <w:highlight w:val="none"/>
          <w:lang w:bidi="th-TH"/>
        </w:rPr>
        <w:t>2</w:t>
      </w:r>
      <w:r>
        <w:rPr>
          <w:rFonts w:ascii="Times New Roman" w:hAnsi="Times New Roman"/>
          <w:color w:val="0000FF"/>
          <w:sz w:val="28"/>
          <w:szCs w:val="28"/>
          <w:highlight w:val="none"/>
          <w:lang w:bidi="th-TH"/>
        </w:rPr>
        <w:t>5年）</w:t>
      </w:r>
      <w:r>
        <w:rPr>
          <w:rFonts w:hint="eastAsia" w:ascii="Times New Roman" w:hAnsi="Times New Roman"/>
          <w:color w:val="0000FF"/>
          <w:sz w:val="28"/>
          <w:szCs w:val="28"/>
          <w:highlight w:val="none"/>
          <w:lang w:bidi="th-TH"/>
        </w:rPr>
        <w:t>，</w:t>
      </w:r>
      <w:r>
        <w:rPr>
          <w:rFonts w:ascii="Times New Roman" w:hAnsi="Times New Roman"/>
          <w:color w:val="0000FF"/>
          <w:sz w:val="28"/>
          <w:szCs w:val="28"/>
          <w:highlight w:val="none"/>
          <w:lang w:bidi="th-TH"/>
        </w:rPr>
        <w:t>天然气供气规模为</w:t>
      </w:r>
      <w:r>
        <w:rPr>
          <w:rFonts w:hint="eastAsia" w:ascii="Times New Roman" w:hAnsi="Times New Roman"/>
          <w:b/>
          <w:bCs/>
          <w:color w:val="0000FF"/>
          <w:sz w:val="28"/>
          <w:szCs w:val="28"/>
          <w:highlight w:val="none"/>
          <w:lang w:val="en-US" w:eastAsia="zh-CN" w:bidi="th-TH"/>
        </w:rPr>
        <w:t>0.93</w:t>
      </w:r>
      <w:r>
        <w:rPr>
          <w:rFonts w:ascii="Times New Roman" w:hAnsi="Times New Roman"/>
          <w:b/>
          <w:bCs/>
          <w:color w:val="0000FF"/>
          <w:sz w:val="28"/>
          <w:szCs w:val="28"/>
          <w:highlight w:val="none"/>
          <w:lang w:bidi="th-TH"/>
        </w:rPr>
        <w:t>×</w:t>
      </w:r>
      <w:r>
        <w:rPr>
          <w:rFonts w:ascii="Times New Roman" w:hAnsi="Times New Roman"/>
          <w:b/>
          <w:color w:val="0000FF"/>
          <w:sz w:val="28"/>
          <w:szCs w:val="28"/>
          <w:highlight w:val="none"/>
          <w:lang w:bidi="th-TH"/>
        </w:rPr>
        <w:t>10</w:t>
      </w:r>
      <w:r>
        <w:rPr>
          <w:rFonts w:ascii="Times New Roman" w:hAnsi="Times New Roman"/>
          <w:b/>
          <w:color w:val="0000FF"/>
          <w:sz w:val="28"/>
          <w:szCs w:val="28"/>
          <w:highlight w:val="none"/>
          <w:vertAlign w:val="superscript"/>
          <w:lang w:bidi="th-TH"/>
        </w:rPr>
        <w:t>8</w:t>
      </w:r>
      <w:r>
        <w:rPr>
          <w:rFonts w:ascii="Times New Roman" w:hAnsi="Times New Roman"/>
          <w:b/>
          <w:color w:val="0000FF"/>
          <w:sz w:val="28"/>
          <w:szCs w:val="28"/>
          <w:highlight w:val="none"/>
          <w:lang w:bidi="th-TH"/>
        </w:rPr>
        <w:t>Nm</w:t>
      </w:r>
      <w:r>
        <w:rPr>
          <w:rFonts w:ascii="Times New Roman" w:hAnsi="Times New Roman"/>
          <w:b/>
          <w:color w:val="0000FF"/>
          <w:sz w:val="28"/>
          <w:szCs w:val="28"/>
          <w:highlight w:val="none"/>
          <w:vertAlign w:val="superscript"/>
          <w:lang w:bidi="th-TH"/>
        </w:rPr>
        <w:t>3</w:t>
      </w:r>
      <w:r>
        <w:rPr>
          <w:rFonts w:ascii="Times New Roman" w:hAnsi="Times New Roman"/>
          <w:b/>
          <w:color w:val="0000FF"/>
          <w:sz w:val="28"/>
          <w:szCs w:val="28"/>
          <w:highlight w:val="none"/>
          <w:lang w:bidi="th-TH"/>
        </w:rPr>
        <w:t>/a</w:t>
      </w:r>
      <w:r>
        <w:rPr>
          <w:rFonts w:hint="eastAsia" w:ascii="Times New Roman" w:hAnsi="Times New Roman"/>
          <w:color w:val="0000FF"/>
          <w:sz w:val="28"/>
          <w:szCs w:val="28"/>
          <w:highlight w:val="none"/>
          <w:lang w:bidi="th-TH"/>
        </w:rPr>
        <w:t>；</w:t>
      </w:r>
      <w:r>
        <w:rPr>
          <w:rFonts w:ascii="Times New Roman" w:hAnsi="Times New Roman"/>
          <w:color w:val="0000FF"/>
          <w:sz w:val="28"/>
          <w:szCs w:val="28"/>
          <w:highlight w:val="none"/>
          <w:lang w:bidi="th-TH"/>
        </w:rPr>
        <w:t>新建</w:t>
      </w:r>
      <w:r>
        <w:rPr>
          <w:rFonts w:hint="eastAsia" w:ascii="Times New Roman" w:hAnsi="Times New Roman"/>
          <w:color w:val="0000FF"/>
          <w:sz w:val="28"/>
          <w:szCs w:val="28"/>
          <w:highlight w:val="none"/>
          <w:lang w:val="en-US" w:eastAsia="zh-CN" w:bidi="th-TH"/>
        </w:rPr>
        <w:t>次</w:t>
      </w:r>
      <w:r>
        <w:rPr>
          <w:rFonts w:ascii="Times New Roman" w:hAnsi="Times New Roman"/>
          <w:color w:val="0000FF"/>
          <w:sz w:val="28"/>
          <w:szCs w:val="28"/>
          <w:highlight w:val="none"/>
          <w:lang w:bidi="th-TH"/>
        </w:rPr>
        <w:t>高压管道</w:t>
      </w:r>
      <w:r>
        <w:rPr>
          <w:rFonts w:hint="eastAsia" w:ascii="Times New Roman" w:hAnsi="Times New Roman"/>
          <w:b/>
          <w:bCs/>
          <w:color w:val="0000FF"/>
          <w:sz w:val="28"/>
          <w:szCs w:val="28"/>
          <w:highlight w:val="none"/>
          <w:lang w:val="en-US" w:eastAsia="zh-CN" w:bidi="th-TH"/>
        </w:rPr>
        <w:t>18.05</w:t>
      </w:r>
      <w:r>
        <w:rPr>
          <w:rFonts w:ascii="Times New Roman" w:hAnsi="Times New Roman"/>
          <w:b/>
          <w:bCs/>
          <w:color w:val="0000FF"/>
          <w:sz w:val="28"/>
          <w:szCs w:val="28"/>
          <w:highlight w:val="none"/>
          <w:lang w:bidi="th-TH"/>
        </w:rPr>
        <w:t>km</w:t>
      </w:r>
      <w:r>
        <w:rPr>
          <w:rFonts w:hint="eastAsia" w:ascii="Times New Roman" w:hAnsi="Times New Roman"/>
          <w:color w:val="0000FF"/>
          <w:sz w:val="28"/>
          <w:szCs w:val="28"/>
          <w:highlight w:val="none"/>
          <w:lang w:val="en-US" w:eastAsia="zh-CN" w:bidi="th-TH"/>
        </w:rPr>
        <w:t>；新建CNG减压站和次高压调压站合建站</w:t>
      </w:r>
      <w:r>
        <w:rPr>
          <w:rFonts w:hint="eastAsia" w:ascii="Times New Roman" w:hAnsi="Times New Roman"/>
          <w:b/>
          <w:bCs/>
          <w:color w:val="0000FF"/>
          <w:sz w:val="28"/>
          <w:szCs w:val="28"/>
          <w:highlight w:val="none"/>
          <w:lang w:val="en-US" w:eastAsia="zh-CN" w:bidi="th-TH"/>
        </w:rPr>
        <w:t>1座</w:t>
      </w:r>
      <w:r>
        <w:rPr>
          <w:rFonts w:hint="eastAsia" w:ascii="Times New Roman" w:hAnsi="Times New Roman"/>
          <w:color w:val="0000FF"/>
          <w:sz w:val="28"/>
          <w:szCs w:val="28"/>
          <w:highlight w:val="none"/>
          <w:lang w:val="en-US" w:eastAsia="zh-CN" w:bidi="th-TH"/>
        </w:rPr>
        <w:t>；新建中压输配管网</w:t>
      </w:r>
      <w:r>
        <w:rPr>
          <w:rFonts w:hint="eastAsia" w:ascii="Times New Roman" w:hAnsi="Times New Roman"/>
          <w:b/>
          <w:bCs/>
          <w:color w:val="0000FF"/>
          <w:sz w:val="28"/>
          <w:szCs w:val="28"/>
          <w:highlight w:val="none"/>
          <w:lang w:val="en-US" w:eastAsia="zh-CN" w:bidi="th-TH"/>
        </w:rPr>
        <w:t>1.30km</w:t>
      </w:r>
      <w:r>
        <w:rPr>
          <w:rFonts w:hint="eastAsia" w:ascii="Times New Roman" w:hAnsi="Times New Roman"/>
          <w:color w:val="0000FF"/>
          <w:sz w:val="28"/>
          <w:szCs w:val="28"/>
          <w:highlight w:val="none"/>
          <w:lang w:bidi="th-TH"/>
        </w:rPr>
        <w:t>。</w:t>
      </w:r>
    </w:p>
    <w:p>
      <w:pPr>
        <w:pStyle w:val="7"/>
        <w:ind w:firstLine="560"/>
        <w:rPr>
          <w:rFonts w:hint="eastAsia" w:ascii="Times New Roman" w:hAnsi="Times New Roman"/>
          <w:b w:val="0"/>
          <w:bCs w:val="0"/>
          <w:color w:val="0000FF"/>
          <w:sz w:val="28"/>
          <w:szCs w:val="28"/>
          <w:highlight w:val="none"/>
          <w:lang w:val="en-US" w:eastAsia="zh-CN" w:bidi="th-TH"/>
        </w:rPr>
      </w:pPr>
      <w:r>
        <w:rPr>
          <w:rFonts w:ascii="Times New Roman" w:hAnsi="Times New Roman"/>
          <w:color w:val="0000FF"/>
          <w:sz w:val="28"/>
          <w:szCs w:val="28"/>
          <w:highlight w:val="none"/>
          <w:lang w:bidi="th-TH"/>
        </w:rPr>
        <w:t>至</w:t>
      </w:r>
      <w:r>
        <w:rPr>
          <w:rFonts w:hint="eastAsia" w:ascii="Times New Roman" w:hAnsi="Times New Roman"/>
          <w:color w:val="0000FF"/>
          <w:sz w:val="28"/>
          <w:szCs w:val="28"/>
          <w:highlight w:val="none"/>
          <w:lang w:val="en-US" w:eastAsia="zh-CN" w:bidi="th-TH"/>
        </w:rPr>
        <w:t>中期规划</w:t>
      </w:r>
      <w:r>
        <w:rPr>
          <w:rFonts w:hint="eastAsia" w:ascii="Times New Roman" w:hAnsi="Times New Roman"/>
          <w:color w:val="0000FF"/>
          <w:sz w:val="28"/>
          <w:szCs w:val="28"/>
          <w:highlight w:val="none"/>
          <w:lang w:bidi="th-TH"/>
        </w:rPr>
        <w:t>期末</w:t>
      </w:r>
      <w:r>
        <w:rPr>
          <w:rFonts w:ascii="Times New Roman" w:hAnsi="Times New Roman"/>
          <w:color w:val="0000FF"/>
          <w:sz w:val="28"/>
          <w:szCs w:val="28"/>
          <w:highlight w:val="none"/>
          <w:lang w:bidi="th-TH"/>
        </w:rPr>
        <w:t>（20</w:t>
      </w:r>
      <w:r>
        <w:rPr>
          <w:rFonts w:hint="eastAsia" w:ascii="Times New Roman" w:hAnsi="Times New Roman"/>
          <w:color w:val="0000FF"/>
          <w:sz w:val="28"/>
          <w:szCs w:val="28"/>
          <w:highlight w:val="none"/>
          <w:lang w:val="en-US" w:eastAsia="zh-CN" w:bidi="th-TH"/>
        </w:rPr>
        <w:t>30</w:t>
      </w:r>
      <w:r>
        <w:rPr>
          <w:rFonts w:ascii="Times New Roman" w:hAnsi="Times New Roman"/>
          <w:color w:val="0000FF"/>
          <w:sz w:val="28"/>
          <w:szCs w:val="28"/>
          <w:highlight w:val="none"/>
          <w:lang w:bidi="th-TH"/>
        </w:rPr>
        <w:t>年）</w:t>
      </w:r>
      <w:r>
        <w:rPr>
          <w:rFonts w:hint="eastAsia" w:ascii="Times New Roman" w:hAnsi="Times New Roman"/>
          <w:color w:val="0000FF"/>
          <w:sz w:val="28"/>
          <w:szCs w:val="28"/>
          <w:highlight w:val="none"/>
          <w:lang w:bidi="th-TH"/>
        </w:rPr>
        <w:t>，</w:t>
      </w:r>
      <w:r>
        <w:rPr>
          <w:rFonts w:ascii="Times New Roman" w:hAnsi="Times New Roman"/>
          <w:color w:val="0000FF"/>
          <w:sz w:val="28"/>
          <w:szCs w:val="28"/>
          <w:highlight w:val="none"/>
          <w:lang w:bidi="th-TH"/>
        </w:rPr>
        <w:t>天然气供气规模为</w:t>
      </w:r>
      <w:r>
        <w:rPr>
          <w:rFonts w:hint="eastAsia" w:ascii="Times New Roman" w:hAnsi="Times New Roman"/>
          <w:b/>
          <w:bCs/>
          <w:color w:val="0000FF"/>
          <w:sz w:val="28"/>
          <w:szCs w:val="28"/>
          <w:highlight w:val="none"/>
          <w:lang w:val="en-US" w:eastAsia="zh-CN" w:bidi="th-TH"/>
        </w:rPr>
        <w:t>1.40</w:t>
      </w:r>
      <w:r>
        <w:rPr>
          <w:rFonts w:ascii="Times New Roman" w:hAnsi="Times New Roman"/>
          <w:b/>
          <w:bCs/>
          <w:color w:val="0000FF"/>
          <w:sz w:val="28"/>
          <w:szCs w:val="28"/>
          <w:highlight w:val="none"/>
          <w:lang w:bidi="th-TH"/>
        </w:rPr>
        <w:t>×</w:t>
      </w:r>
      <w:r>
        <w:rPr>
          <w:rFonts w:ascii="Times New Roman" w:hAnsi="Times New Roman"/>
          <w:b/>
          <w:color w:val="0000FF"/>
          <w:sz w:val="28"/>
          <w:szCs w:val="28"/>
          <w:highlight w:val="none"/>
          <w:lang w:bidi="th-TH"/>
        </w:rPr>
        <w:t>10</w:t>
      </w:r>
      <w:r>
        <w:rPr>
          <w:rFonts w:ascii="Times New Roman" w:hAnsi="Times New Roman"/>
          <w:b/>
          <w:color w:val="0000FF"/>
          <w:sz w:val="28"/>
          <w:szCs w:val="28"/>
          <w:highlight w:val="none"/>
          <w:vertAlign w:val="superscript"/>
          <w:lang w:bidi="th-TH"/>
        </w:rPr>
        <w:t>8</w:t>
      </w:r>
      <w:r>
        <w:rPr>
          <w:rFonts w:ascii="Times New Roman" w:hAnsi="Times New Roman"/>
          <w:b/>
          <w:color w:val="0000FF"/>
          <w:sz w:val="28"/>
          <w:szCs w:val="28"/>
          <w:highlight w:val="none"/>
          <w:lang w:bidi="th-TH"/>
        </w:rPr>
        <w:t>Nm</w:t>
      </w:r>
      <w:r>
        <w:rPr>
          <w:rFonts w:ascii="Times New Roman" w:hAnsi="Times New Roman"/>
          <w:b/>
          <w:color w:val="0000FF"/>
          <w:sz w:val="28"/>
          <w:szCs w:val="28"/>
          <w:highlight w:val="none"/>
          <w:vertAlign w:val="superscript"/>
          <w:lang w:bidi="th-TH"/>
        </w:rPr>
        <w:t>3</w:t>
      </w:r>
      <w:r>
        <w:rPr>
          <w:rFonts w:ascii="Times New Roman" w:hAnsi="Times New Roman"/>
          <w:b/>
          <w:color w:val="0000FF"/>
          <w:sz w:val="28"/>
          <w:szCs w:val="28"/>
          <w:highlight w:val="none"/>
          <w:lang w:bidi="th-TH"/>
        </w:rPr>
        <w:t>/a</w:t>
      </w:r>
      <w:r>
        <w:rPr>
          <w:rFonts w:hint="eastAsia" w:ascii="Times New Roman" w:hAnsi="Times New Roman"/>
          <w:color w:val="0000FF"/>
          <w:sz w:val="28"/>
          <w:szCs w:val="28"/>
          <w:highlight w:val="none"/>
          <w:lang w:bidi="th-TH"/>
        </w:rPr>
        <w:t>；</w:t>
      </w:r>
      <w:r>
        <w:rPr>
          <w:rFonts w:ascii="Times New Roman" w:hAnsi="Times New Roman"/>
          <w:color w:val="0000FF"/>
          <w:sz w:val="28"/>
          <w:szCs w:val="28"/>
          <w:highlight w:val="none"/>
          <w:lang w:bidi="th-TH"/>
        </w:rPr>
        <w:t>新建</w:t>
      </w:r>
      <w:r>
        <w:rPr>
          <w:rFonts w:hint="eastAsia" w:ascii="Times New Roman" w:hAnsi="Times New Roman"/>
          <w:color w:val="0000FF"/>
          <w:sz w:val="28"/>
          <w:szCs w:val="28"/>
          <w:highlight w:val="none"/>
          <w:lang w:val="en-US" w:eastAsia="zh-CN" w:bidi="th-TH"/>
        </w:rPr>
        <w:t>次</w:t>
      </w:r>
      <w:r>
        <w:rPr>
          <w:rFonts w:ascii="Times New Roman" w:hAnsi="Times New Roman"/>
          <w:color w:val="0000FF"/>
          <w:sz w:val="28"/>
          <w:szCs w:val="28"/>
          <w:highlight w:val="none"/>
          <w:lang w:bidi="th-TH"/>
        </w:rPr>
        <w:t>高压管道</w:t>
      </w:r>
      <w:r>
        <w:rPr>
          <w:rFonts w:hint="eastAsia" w:ascii="Times New Roman" w:hAnsi="Times New Roman"/>
          <w:b/>
          <w:bCs/>
          <w:color w:val="0000FF"/>
          <w:sz w:val="28"/>
          <w:szCs w:val="28"/>
          <w:highlight w:val="none"/>
          <w:lang w:val="en-US" w:eastAsia="zh-CN" w:bidi="th-TH"/>
        </w:rPr>
        <w:t>17.70</w:t>
      </w:r>
      <w:r>
        <w:rPr>
          <w:rFonts w:ascii="Times New Roman" w:hAnsi="Times New Roman"/>
          <w:b/>
          <w:bCs/>
          <w:color w:val="0000FF"/>
          <w:sz w:val="28"/>
          <w:szCs w:val="28"/>
          <w:highlight w:val="none"/>
          <w:lang w:bidi="th-TH"/>
        </w:rPr>
        <w:t>km</w:t>
      </w:r>
      <w:r>
        <w:rPr>
          <w:rFonts w:hint="eastAsia" w:ascii="Times New Roman" w:hAnsi="Times New Roman"/>
          <w:b w:val="0"/>
          <w:bCs w:val="0"/>
          <w:color w:val="0000FF"/>
          <w:sz w:val="28"/>
          <w:szCs w:val="28"/>
          <w:highlight w:val="none"/>
          <w:lang w:eastAsia="zh-CN" w:bidi="th-TH"/>
        </w:rPr>
        <w:t>；</w:t>
      </w:r>
      <w:r>
        <w:rPr>
          <w:rFonts w:hint="eastAsia" w:ascii="Times New Roman" w:hAnsi="Times New Roman"/>
          <w:color w:val="0000FF"/>
          <w:sz w:val="28"/>
          <w:szCs w:val="28"/>
          <w:highlight w:val="none"/>
          <w:lang w:val="en-US" w:eastAsia="zh-CN" w:bidi="th-TH"/>
        </w:rPr>
        <w:t>新建中压输配管网</w:t>
      </w:r>
      <w:r>
        <w:rPr>
          <w:rFonts w:hint="eastAsia" w:ascii="Times New Roman" w:hAnsi="Times New Roman"/>
          <w:b/>
          <w:bCs/>
          <w:color w:val="0000FF"/>
          <w:sz w:val="28"/>
          <w:szCs w:val="28"/>
          <w:highlight w:val="none"/>
          <w:lang w:val="en-US" w:eastAsia="zh-CN" w:bidi="th-TH"/>
        </w:rPr>
        <w:t>4.20km；</w:t>
      </w:r>
      <w:r>
        <w:rPr>
          <w:rFonts w:hint="eastAsia" w:ascii="Times New Roman" w:hAnsi="Times New Roman"/>
          <w:b w:val="0"/>
          <w:bCs w:val="0"/>
          <w:color w:val="0000FF"/>
          <w:sz w:val="28"/>
          <w:szCs w:val="28"/>
          <w:highlight w:val="none"/>
          <w:lang w:val="en-US" w:eastAsia="zh-CN" w:bidi="th-TH"/>
        </w:rPr>
        <w:t>新建高中压调压站</w:t>
      </w:r>
      <w:r>
        <w:rPr>
          <w:rFonts w:hint="eastAsia" w:ascii="Times New Roman" w:hAnsi="Times New Roman"/>
          <w:b/>
          <w:bCs/>
          <w:color w:val="0000FF"/>
          <w:sz w:val="28"/>
          <w:szCs w:val="28"/>
          <w:highlight w:val="none"/>
          <w:lang w:val="en-US" w:eastAsia="zh-CN" w:bidi="th-TH"/>
        </w:rPr>
        <w:t>1座</w:t>
      </w:r>
      <w:r>
        <w:rPr>
          <w:rFonts w:hint="eastAsia" w:ascii="Times New Roman" w:hAnsi="Times New Roman"/>
          <w:b w:val="0"/>
          <w:bCs w:val="0"/>
          <w:color w:val="0000FF"/>
          <w:sz w:val="28"/>
          <w:szCs w:val="28"/>
          <w:highlight w:val="none"/>
          <w:lang w:val="en-US" w:eastAsia="zh-CN" w:bidi="th-TH"/>
        </w:rPr>
        <w:t>。</w:t>
      </w:r>
    </w:p>
    <w:p>
      <w:pPr>
        <w:pStyle w:val="7"/>
        <w:ind w:firstLine="560"/>
        <w:rPr>
          <w:rFonts w:hint="eastAsia" w:ascii="Times New Roman" w:hAnsi="Times New Roman"/>
          <w:b w:val="0"/>
          <w:bCs w:val="0"/>
          <w:color w:val="0000FF"/>
          <w:sz w:val="28"/>
          <w:szCs w:val="28"/>
          <w:highlight w:val="none"/>
          <w:lang w:val="en-US" w:eastAsia="zh-CN" w:bidi="th-TH"/>
        </w:rPr>
      </w:pPr>
      <w:r>
        <w:rPr>
          <w:rFonts w:ascii="Times New Roman" w:hAnsi="Times New Roman"/>
          <w:color w:val="0000FF"/>
          <w:sz w:val="28"/>
          <w:szCs w:val="28"/>
          <w:highlight w:val="none"/>
          <w:lang w:bidi="th-TH"/>
        </w:rPr>
        <w:t>至</w:t>
      </w:r>
      <w:r>
        <w:rPr>
          <w:rFonts w:hint="eastAsia" w:ascii="Times New Roman" w:hAnsi="Times New Roman"/>
          <w:color w:val="0000FF"/>
          <w:sz w:val="28"/>
          <w:szCs w:val="28"/>
          <w:highlight w:val="none"/>
          <w:lang w:val="en-US" w:eastAsia="zh-CN" w:bidi="th-TH"/>
        </w:rPr>
        <w:t>远期规划</w:t>
      </w:r>
      <w:r>
        <w:rPr>
          <w:rFonts w:hint="eastAsia" w:ascii="Times New Roman" w:hAnsi="Times New Roman"/>
          <w:color w:val="0000FF"/>
          <w:sz w:val="28"/>
          <w:szCs w:val="28"/>
          <w:highlight w:val="none"/>
          <w:lang w:bidi="th-TH"/>
        </w:rPr>
        <w:t>期末</w:t>
      </w:r>
      <w:r>
        <w:rPr>
          <w:rFonts w:ascii="Times New Roman" w:hAnsi="Times New Roman"/>
          <w:color w:val="0000FF"/>
          <w:sz w:val="28"/>
          <w:szCs w:val="28"/>
          <w:highlight w:val="none"/>
          <w:lang w:bidi="th-TH"/>
        </w:rPr>
        <w:t>（20</w:t>
      </w:r>
      <w:r>
        <w:rPr>
          <w:rFonts w:hint="eastAsia" w:ascii="Times New Roman" w:hAnsi="Times New Roman"/>
          <w:color w:val="0000FF"/>
          <w:sz w:val="28"/>
          <w:szCs w:val="28"/>
          <w:highlight w:val="none"/>
          <w:lang w:val="en-US" w:eastAsia="zh-CN" w:bidi="th-TH"/>
        </w:rPr>
        <w:t>35</w:t>
      </w:r>
      <w:r>
        <w:rPr>
          <w:rFonts w:ascii="Times New Roman" w:hAnsi="Times New Roman"/>
          <w:color w:val="0000FF"/>
          <w:sz w:val="28"/>
          <w:szCs w:val="28"/>
          <w:highlight w:val="none"/>
          <w:lang w:bidi="th-TH"/>
        </w:rPr>
        <w:t>年）</w:t>
      </w:r>
      <w:r>
        <w:rPr>
          <w:rFonts w:hint="eastAsia" w:ascii="Times New Roman" w:hAnsi="Times New Roman"/>
          <w:color w:val="0000FF"/>
          <w:sz w:val="28"/>
          <w:szCs w:val="28"/>
          <w:highlight w:val="none"/>
          <w:lang w:bidi="th-TH"/>
        </w:rPr>
        <w:t>，</w:t>
      </w:r>
      <w:r>
        <w:rPr>
          <w:rFonts w:ascii="Times New Roman" w:hAnsi="Times New Roman"/>
          <w:color w:val="0000FF"/>
          <w:sz w:val="28"/>
          <w:szCs w:val="28"/>
          <w:highlight w:val="none"/>
          <w:lang w:bidi="th-TH"/>
        </w:rPr>
        <w:t>天然气供气规模为</w:t>
      </w:r>
      <w:r>
        <w:rPr>
          <w:rFonts w:hint="eastAsia" w:ascii="Times New Roman" w:hAnsi="Times New Roman"/>
          <w:b/>
          <w:bCs/>
          <w:color w:val="0000FF"/>
          <w:sz w:val="28"/>
          <w:szCs w:val="28"/>
          <w:highlight w:val="none"/>
          <w:lang w:val="en-US" w:eastAsia="zh-CN" w:bidi="th-TH"/>
        </w:rPr>
        <w:t>1.68</w:t>
      </w:r>
      <w:r>
        <w:rPr>
          <w:rFonts w:ascii="Times New Roman" w:hAnsi="Times New Roman"/>
          <w:b/>
          <w:bCs/>
          <w:color w:val="0000FF"/>
          <w:sz w:val="28"/>
          <w:szCs w:val="28"/>
          <w:highlight w:val="none"/>
          <w:lang w:bidi="th-TH"/>
        </w:rPr>
        <w:t>×</w:t>
      </w:r>
      <w:r>
        <w:rPr>
          <w:rFonts w:ascii="Times New Roman" w:hAnsi="Times New Roman"/>
          <w:b/>
          <w:color w:val="0000FF"/>
          <w:sz w:val="28"/>
          <w:szCs w:val="28"/>
          <w:highlight w:val="none"/>
          <w:lang w:bidi="th-TH"/>
        </w:rPr>
        <w:t>10</w:t>
      </w:r>
      <w:r>
        <w:rPr>
          <w:rFonts w:ascii="Times New Roman" w:hAnsi="Times New Roman"/>
          <w:b/>
          <w:color w:val="0000FF"/>
          <w:sz w:val="28"/>
          <w:szCs w:val="28"/>
          <w:highlight w:val="none"/>
          <w:vertAlign w:val="superscript"/>
          <w:lang w:bidi="th-TH"/>
        </w:rPr>
        <w:t>8</w:t>
      </w:r>
      <w:r>
        <w:rPr>
          <w:rFonts w:ascii="Times New Roman" w:hAnsi="Times New Roman"/>
          <w:b/>
          <w:color w:val="0000FF"/>
          <w:sz w:val="28"/>
          <w:szCs w:val="28"/>
          <w:highlight w:val="none"/>
          <w:lang w:bidi="th-TH"/>
        </w:rPr>
        <w:t>Nm</w:t>
      </w:r>
      <w:r>
        <w:rPr>
          <w:rFonts w:ascii="Times New Roman" w:hAnsi="Times New Roman"/>
          <w:b/>
          <w:color w:val="0000FF"/>
          <w:sz w:val="28"/>
          <w:szCs w:val="28"/>
          <w:highlight w:val="none"/>
          <w:vertAlign w:val="superscript"/>
          <w:lang w:bidi="th-TH"/>
        </w:rPr>
        <w:t>3</w:t>
      </w:r>
      <w:r>
        <w:rPr>
          <w:rFonts w:ascii="Times New Roman" w:hAnsi="Times New Roman"/>
          <w:b/>
          <w:color w:val="0000FF"/>
          <w:sz w:val="28"/>
          <w:szCs w:val="28"/>
          <w:highlight w:val="none"/>
          <w:lang w:bidi="th-TH"/>
        </w:rPr>
        <w:t>/a</w:t>
      </w:r>
      <w:r>
        <w:rPr>
          <w:rFonts w:hint="eastAsia" w:ascii="Times New Roman" w:hAnsi="Times New Roman"/>
          <w:color w:val="0000FF"/>
          <w:sz w:val="28"/>
          <w:szCs w:val="28"/>
          <w:highlight w:val="none"/>
          <w:lang w:bidi="th-TH"/>
        </w:rPr>
        <w:t>；</w:t>
      </w:r>
      <w:r>
        <w:rPr>
          <w:rFonts w:ascii="Times New Roman" w:hAnsi="Times New Roman"/>
          <w:color w:val="0000FF"/>
          <w:sz w:val="28"/>
          <w:szCs w:val="28"/>
          <w:highlight w:val="none"/>
          <w:lang w:bidi="th-TH"/>
        </w:rPr>
        <w:t>新建</w:t>
      </w:r>
      <w:r>
        <w:rPr>
          <w:rFonts w:hint="eastAsia" w:ascii="Times New Roman" w:hAnsi="Times New Roman"/>
          <w:color w:val="0000FF"/>
          <w:sz w:val="28"/>
          <w:szCs w:val="28"/>
          <w:highlight w:val="none"/>
          <w:lang w:val="en-US" w:eastAsia="zh-CN" w:bidi="th-TH"/>
        </w:rPr>
        <w:t>次</w:t>
      </w:r>
      <w:r>
        <w:rPr>
          <w:rFonts w:ascii="Times New Roman" w:hAnsi="Times New Roman"/>
          <w:color w:val="0000FF"/>
          <w:sz w:val="28"/>
          <w:szCs w:val="28"/>
          <w:highlight w:val="none"/>
          <w:lang w:bidi="th-TH"/>
        </w:rPr>
        <w:t>高压管道</w:t>
      </w:r>
      <w:r>
        <w:rPr>
          <w:rFonts w:hint="eastAsia" w:ascii="Times New Roman" w:hAnsi="Times New Roman"/>
          <w:b/>
          <w:bCs/>
          <w:color w:val="0000FF"/>
          <w:sz w:val="28"/>
          <w:szCs w:val="28"/>
          <w:highlight w:val="none"/>
          <w:lang w:val="en-US" w:eastAsia="zh-CN" w:bidi="th-TH"/>
        </w:rPr>
        <w:t>1.40</w:t>
      </w:r>
      <w:r>
        <w:rPr>
          <w:rFonts w:ascii="Times New Roman" w:hAnsi="Times New Roman"/>
          <w:b/>
          <w:bCs/>
          <w:color w:val="0000FF"/>
          <w:sz w:val="28"/>
          <w:szCs w:val="28"/>
          <w:highlight w:val="none"/>
          <w:lang w:bidi="th-TH"/>
        </w:rPr>
        <w:t>km</w:t>
      </w:r>
      <w:r>
        <w:rPr>
          <w:rFonts w:hint="eastAsia" w:ascii="Times New Roman" w:hAnsi="Times New Roman"/>
          <w:b/>
          <w:bCs/>
          <w:color w:val="0000FF"/>
          <w:sz w:val="28"/>
          <w:szCs w:val="28"/>
          <w:highlight w:val="none"/>
          <w:lang w:val="en-US" w:eastAsia="zh-CN" w:bidi="th-TH"/>
        </w:rPr>
        <w:t>；</w:t>
      </w:r>
      <w:r>
        <w:rPr>
          <w:rFonts w:hint="eastAsia" w:ascii="Times New Roman" w:hAnsi="Times New Roman"/>
          <w:b w:val="0"/>
          <w:bCs w:val="0"/>
          <w:color w:val="0000FF"/>
          <w:sz w:val="28"/>
          <w:szCs w:val="28"/>
          <w:highlight w:val="none"/>
          <w:lang w:val="en-US" w:eastAsia="zh-CN" w:bidi="th-TH"/>
        </w:rPr>
        <w:t>新建LNG储配站</w:t>
      </w:r>
      <w:r>
        <w:rPr>
          <w:rFonts w:hint="eastAsia" w:ascii="Times New Roman" w:hAnsi="Times New Roman"/>
          <w:b/>
          <w:bCs/>
          <w:color w:val="0000FF"/>
          <w:sz w:val="28"/>
          <w:szCs w:val="28"/>
          <w:highlight w:val="none"/>
          <w:lang w:val="en-US" w:eastAsia="zh-CN" w:bidi="th-TH"/>
        </w:rPr>
        <w:t>1座</w:t>
      </w:r>
      <w:r>
        <w:rPr>
          <w:rFonts w:hint="eastAsia" w:ascii="Times New Roman" w:hAnsi="Times New Roman"/>
          <w:b w:val="0"/>
          <w:bCs w:val="0"/>
          <w:color w:val="0000FF"/>
          <w:sz w:val="28"/>
          <w:szCs w:val="28"/>
          <w:highlight w:val="none"/>
          <w:lang w:val="en-US" w:eastAsia="zh-CN" w:bidi="th-TH"/>
        </w:rPr>
        <w:t>。</w:t>
      </w:r>
    </w:p>
    <w:p>
      <w:pPr>
        <w:spacing w:line="360" w:lineRule="auto"/>
        <w:ind w:firstLine="560" w:firstLineChars="20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具体实施进度见表</w:t>
      </w:r>
      <w:r>
        <w:rPr>
          <w:rFonts w:hint="eastAsia" w:ascii="Times New Roman" w:hAnsi="Times New Roman" w:cs="Times New Roman"/>
          <w:color w:val="auto"/>
          <w:sz w:val="28"/>
          <w:szCs w:val="28"/>
          <w:highlight w:val="none"/>
          <w:lang w:val="en-US" w:eastAsia="zh-CN"/>
        </w:rPr>
        <w:t>10</w:t>
      </w:r>
      <w:r>
        <w:rPr>
          <w:rFonts w:ascii="Times New Roman" w:hAnsi="Times New Roman" w:cs="Times New Roman"/>
          <w:color w:val="auto"/>
          <w:sz w:val="28"/>
          <w:szCs w:val="28"/>
          <w:highlight w:val="none"/>
        </w:rPr>
        <w:t>-1。</w:t>
      </w:r>
    </w:p>
    <w:p>
      <w:pPr>
        <w:spacing w:line="360" w:lineRule="auto"/>
        <w:jc w:val="center"/>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表</w:t>
      </w:r>
      <w:r>
        <w:rPr>
          <w:rFonts w:hint="eastAsia" w:ascii="Times New Roman" w:hAnsi="Times New Roman" w:cs="Times New Roman"/>
          <w:b/>
          <w:bCs/>
          <w:color w:val="auto"/>
          <w:sz w:val="24"/>
          <w:highlight w:val="none"/>
          <w:lang w:val="en-US" w:eastAsia="zh-CN"/>
        </w:rPr>
        <w:t>10</w:t>
      </w:r>
      <w:r>
        <w:rPr>
          <w:rFonts w:ascii="Times New Roman" w:hAnsi="Times New Roman" w:cs="Times New Roman"/>
          <w:b/>
          <w:bCs/>
          <w:color w:val="auto"/>
          <w:sz w:val="24"/>
          <w:highlight w:val="none"/>
        </w:rPr>
        <w:t>-1  项目实施进度</w:t>
      </w:r>
      <w:r>
        <w:rPr>
          <w:rFonts w:hint="eastAsia" w:ascii="Times New Roman" w:hAnsi="Times New Roman" w:cs="Times New Roman"/>
          <w:b/>
          <w:bCs/>
          <w:color w:val="auto"/>
          <w:sz w:val="24"/>
          <w:highlight w:val="none"/>
        </w:rPr>
        <w:t>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783"/>
        <w:gridCol w:w="3938"/>
        <w:gridCol w:w="1820"/>
        <w:gridCol w:w="1962"/>
        <w:gridCol w:w="1962"/>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374" w:type="pct"/>
            <w:tcBorders>
              <w:top w:val="thinThickSmallGap" w:color="auto" w:sz="24" w:space="0"/>
              <w:left w:val="nil"/>
            </w:tcBorders>
            <w:vAlign w:val="center"/>
          </w:tcPr>
          <w:p>
            <w:pPr>
              <w:keepNext w:val="0"/>
              <w:keepLines w:val="0"/>
              <w:widowControl/>
              <w:suppressLineNumbers w:val="0"/>
              <w:kinsoku w:val="0"/>
              <w:overflowPunct w:val="0"/>
              <w:spacing w:before="0" w:beforeAutospacing="0" w:after="0" w:afterAutospacing="0"/>
              <w:ind w:left="0" w:right="0"/>
              <w:jc w:val="center"/>
              <w:textAlignment w:val="baseline"/>
              <w:rPr>
                <w:rFonts w:hint="default" w:ascii="Times New Roman" w:hAnsi="Times New Roman" w:cs="Times New Roman"/>
                <w:color w:val="auto"/>
                <w:kern w:val="0"/>
                <w:sz w:val="24"/>
                <w:highlight w:val="none"/>
              </w:rPr>
            </w:pPr>
            <w:r>
              <w:rPr>
                <w:rFonts w:hint="default" w:ascii="Times New Roman" w:hAnsi="Times New Roman" w:cs="Times New Roman"/>
                <w:b/>
                <w:bCs/>
                <w:color w:val="auto"/>
                <w:kern w:val="24"/>
                <w:sz w:val="24"/>
                <w:highlight w:val="none"/>
              </w:rPr>
              <w:t>序号</w:t>
            </w:r>
          </w:p>
        </w:tc>
        <w:tc>
          <w:tcPr>
            <w:tcW w:w="1881" w:type="pct"/>
            <w:tcBorders>
              <w:top w:val="thinThickSmallGap" w:color="auto" w:sz="24" w:space="0"/>
            </w:tcBorders>
            <w:vAlign w:val="center"/>
          </w:tcPr>
          <w:p>
            <w:pPr>
              <w:keepNext w:val="0"/>
              <w:keepLines w:val="0"/>
              <w:widowControl/>
              <w:suppressLineNumbers w:val="0"/>
              <w:kinsoku w:val="0"/>
              <w:overflowPunct w:val="0"/>
              <w:spacing w:before="0" w:beforeAutospacing="0" w:after="0" w:afterAutospacing="0"/>
              <w:ind w:left="0" w:right="0"/>
              <w:jc w:val="center"/>
              <w:textAlignment w:val="baseline"/>
              <w:rPr>
                <w:rFonts w:hint="default" w:ascii="Times New Roman" w:hAnsi="Times New Roman" w:cs="Times New Roman"/>
                <w:color w:val="auto"/>
                <w:kern w:val="0"/>
                <w:sz w:val="24"/>
                <w:highlight w:val="none"/>
              </w:rPr>
            </w:pPr>
            <w:r>
              <w:rPr>
                <w:rFonts w:hint="default" w:ascii="Times New Roman" w:hAnsi="Times New Roman" w:cs="Times New Roman"/>
                <w:b/>
                <w:bCs/>
                <w:color w:val="auto"/>
                <w:kern w:val="24"/>
                <w:sz w:val="24"/>
                <w:highlight w:val="none"/>
              </w:rPr>
              <w:t>建设内容</w:t>
            </w:r>
          </w:p>
        </w:tc>
        <w:tc>
          <w:tcPr>
            <w:tcW w:w="869" w:type="pct"/>
            <w:tcBorders>
              <w:top w:val="thinThickSmallGap" w:color="auto" w:sz="24" w:space="0"/>
            </w:tcBorders>
            <w:vAlign w:val="center"/>
          </w:tcPr>
          <w:p>
            <w:pPr>
              <w:keepNext w:val="0"/>
              <w:keepLines w:val="0"/>
              <w:widowControl/>
              <w:suppressLineNumbers w:val="0"/>
              <w:kinsoku w:val="0"/>
              <w:overflowPunct w:val="0"/>
              <w:spacing w:before="0" w:beforeAutospacing="0" w:after="0" w:afterAutospacing="0"/>
              <w:ind w:left="0" w:right="0"/>
              <w:jc w:val="center"/>
              <w:textAlignment w:val="baseline"/>
              <w:rPr>
                <w:rFonts w:hint="default" w:ascii="Times New Roman" w:hAnsi="Times New Roman" w:cs="Times New Roman"/>
                <w:color w:val="0000FF"/>
                <w:kern w:val="0"/>
                <w:sz w:val="24"/>
                <w:highlight w:val="none"/>
              </w:rPr>
            </w:pPr>
            <w:r>
              <w:rPr>
                <w:rFonts w:hint="eastAsia" w:ascii="Times New Roman" w:hAnsi="Times New Roman" w:cs="Times New Roman"/>
                <w:b/>
                <w:bCs/>
                <w:color w:val="0000FF"/>
                <w:kern w:val="0"/>
                <w:sz w:val="24"/>
                <w:highlight w:val="none"/>
              </w:rPr>
              <w:t>202</w:t>
            </w:r>
            <w:r>
              <w:rPr>
                <w:rFonts w:hint="eastAsia" w:ascii="Times New Roman" w:hAnsi="Times New Roman" w:cs="Times New Roman"/>
                <w:b/>
                <w:bCs/>
                <w:color w:val="0000FF"/>
                <w:kern w:val="0"/>
                <w:sz w:val="24"/>
                <w:highlight w:val="none"/>
                <w:lang w:val="en-US" w:eastAsia="zh-CN"/>
              </w:rPr>
              <w:t>3</w:t>
            </w:r>
            <w:r>
              <w:rPr>
                <w:rFonts w:hint="eastAsia" w:ascii="Times New Roman" w:hAnsi="Times New Roman" w:cs="Times New Roman"/>
                <w:b/>
                <w:bCs/>
                <w:color w:val="0000FF"/>
                <w:kern w:val="0"/>
                <w:sz w:val="24"/>
                <w:highlight w:val="none"/>
              </w:rPr>
              <w:t>-202</w:t>
            </w:r>
            <w:r>
              <w:rPr>
                <w:rFonts w:hint="eastAsia" w:ascii="Times New Roman" w:hAnsi="Times New Roman" w:cs="Times New Roman"/>
                <w:b/>
                <w:bCs/>
                <w:color w:val="0000FF"/>
                <w:kern w:val="0"/>
                <w:sz w:val="24"/>
                <w:highlight w:val="none"/>
                <w:lang w:val="en-US" w:eastAsia="zh-CN"/>
              </w:rPr>
              <w:t>5</w:t>
            </w:r>
            <w:r>
              <w:rPr>
                <w:rFonts w:hint="eastAsia" w:ascii="Times New Roman" w:hAnsi="Times New Roman" w:cs="Times New Roman"/>
                <w:b/>
                <w:bCs/>
                <w:color w:val="0000FF"/>
                <w:kern w:val="0"/>
                <w:sz w:val="24"/>
                <w:highlight w:val="none"/>
              </w:rPr>
              <w:t>年</w:t>
            </w:r>
          </w:p>
        </w:tc>
        <w:tc>
          <w:tcPr>
            <w:tcW w:w="937" w:type="pct"/>
            <w:tcBorders>
              <w:top w:val="thinThickSmallGap" w:color="auto" w:sz="24" w:space="0"/>
            </w:tcBorders>
            <w:vAlign w:val="center"/>
          </w:tcPr>
          <w:p>
            <w:pPr>
              <w:keepNext w:val="0"/>
              <w:keepLines w:val="0"/>
              <w:widowControl/>
              <w:suppressLineNumbers w:val="0"/>
              <w:kinsoku w:val="0"/>
              <w:overflowPunct w:val="0"/>
              <w:spacing w:before="0" w:beforeAutospacing="0" w:after="0" w:afterAutospacing="0"/>
              <w:ind w:left="0" w:right="0"/>
              <w:jc w:val="center"/>
              <w:textAlignment w:val="baseline"/>
              <w:rPr>
                <w:rFonts w:hint="default" w:ascii="Times New Roman" w:hAnsi="Times New Roman" w:cs="Times New Roman" w:eastAsiaTheme="minorEastAsia"/>
                <w:b/>
                <w:bCs/>
                <w:color w:val="0000FF"/>
                <w:kern w:val="0"/>
                <w:sz w:val="24"/>
                <w:highlight w:val="none"/>
                <w:lang w:val="en-US" w:eastAsia="zh-CN"/>
              </w:rPr>
            </w:pPr>
            <w:r>
              <w:rPr>
                <w:rFonts w:hint="eastAsia" w:ascii="Times New Roman" w:hAnsi="Times New Roman" w:cs="Times New Roman"/>
                <w:b/>
                <w:bCs/>
                <w:color w:val="0000FF"/>
                <w:kern w:val="0"/>
                <w:sz w:val="24"/>
                <w:highlight w:val="none"/>
                <w:lang w:val="en-US" w:eastAsia="zh-CN"/>
              </w:rPr>
              <w:t>2026-2030年</w:t>
            </w:r>
          </w:p>
        </w:tc>
        <w:tc>
          <w:tcPr>
            <w:tcW w:w="937" w:type="pct"/>
            <w:tcBorders>
              <w:top w:val="thinThickSmallGap" w:color="auto" w:sz="24" w:space="0"/>
              <w:right w:val="nil"/>
            </w:tcBorders>
            <w:vAlign w:val="center"/>
          </w:tcPr>
          <w:p>
            <w:pPr>
              <w:keepNext w:val="0"/>
              <w:keepLines w:val="0"/>
              <w:widowControl/>
              <w:suppressLineNumbers w:val="0"/>
              <w:kinsoku w:val="0"/>
              <w:overflowPunct w:val="0"/>
              <w:spacing w:before="0" w:beforeAutospacing="0" w:after="0" w:afterAutospacing="0"/>
              <w:ind w:left="0" w:right="0"/>
              <w:jc w:val="center"/>
              <w:textAlignment w:val="baseline"/>
              <w:rPr>
                <w:rFonts w:hint="default" w:ascii="Times New Roman" w:hAnsi="Times New Roman" w:cs="Times New Roman"/>
                <w:b/>
                <w:bCs/>
                <w:color w:val="0000FF"/>
                <w:kern w:val="0"/>
                <w:sz w:val="24"/>
                <w:highlight w:val="none"/>
              </w:rPr>
            </w:pPr>
            <w:r>
              <w:rPr>
                <w:rFonts w:hint="eastAsia" w:ascii="Times New Roman" w:hAnsi="Times New Roman" w:cs="Times New Roman"/>
                <w:b/>
                <w:bCs/>
                <w:color w:val="0000FF"/>
                <w:kern w:val="0"/>
                <w:sz w:val="24"/>
                <w:highlight w:val="none"/>
              </w:rPr>
              <w:t>20</w:t>
            </w:r>
            <w:r>
              <w:rPr>
                <w:rFonts w:hint="eastAsia" w:ascii="Times New Roman" w:hAnsi="Times New Roman" w:cs="Times New Roman"/>
                <w:b/>
                <w:bCs/>
                <w:color w:val="0000FF"/>
                <w:kern w:val="0"/>
                <w:sz w:val="24"/>
                <w:highlight w:val="none"/>
                <w:lang w:val="en-US" w:eastAsia="zh-CN"/>
              </w:rPr>
              <w:t>31</w:t>
            </w:r>
            <w:r>
              <w:rPr>
                <w:rFonts w:hint="eastAsia" w:ascii="Times New Roman" w:hAnsi="Times New Roman" w:cs="Times New Roman"/>
                <w:b/>
                <w:bCs/>
                <w:color w:val="0000FF"/>
                <w:kern w:val="0"/>
                <w:sz w:val="24"/>
                <w:highlight w:val="none"/>
              </w:rPr>
              <w:t>-20</w:t>
            </w:r>
            <w:r>
              <w:rPr>
                <w:rFonts w:hint="eastAsia" w:ascii="Times New Roman" w:hAnsi="Times New Roman" w:cs="Times New Roman"/>
                <w:b/>
                <w:bCs/>
                <w:color w:val="0000FF"/>
                <w:kern w:val="0"/>
                <w:sz w:val="24"/>
                <w:highlight w:val="none"/>
                <w:lang w:val="en-US" w:eastAsia="zh-CN"/>
              </w:rPr>
              <w:t>35</w:t>
            </w:r>
            <w:r>
              <w:rPr>
                <w:rFonts w:hint="eastAsia" w:ascii="Times New Roman" w:hAnsi="Times New Roman" w:cs="Times New Roman"/>
                <w:b/>
                <w:bCs/>
                <w:color w:val="0000FF"/>
                <w:kern w:val="0"/>
                <w:sz w:val="24"/>
                <w:highlight w:val="none"/>
              </w:rPr>
              <w:t>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4" w:type="pct"/>
            <w:tcBorders>
              <w:left w:val="nil"/>
            </w:tcBorders>
            <w:vAlign w:val="center"/>
          </w:tcPr>
          <w:p>
            <w:pPr>
              <w:keepNext w:val="0"/>
              <w:keepLines w:val="0"/>
              <w:widowControl/>
              <w:suppressLineNumbers w:val="0"/>
              <w:kinsoku w:val="0"/>
              <w:overflowPunct w:val="0"/>
              <w:spacing w:before="0" w:beforeAutospacing="0" w:after="0" w:afterAutospacing="0"/>
              <w:ind w:left="0" w:right="0"/>
              <w:jc w:val="center"/>
              <w:textAlignment w:val="baseline"/>
              <w:rPr>
                <w:rFonts w:hint="default" w:ascii="Times New Roman" w:hAnsi="Times New Roman" w:cs="Times New Roman"/>
                <w:color w:val="auto"/>
                <w:kern w:val="24"/>
                <w:sz w:val="24"/>
                <w:highlight w:val="none"/>
              </w:rPr>
            </w:pPr>
            <w:r>
              <w:rPr>
                <w:rFonts w:hint="default" w:ascii="Times New Roman" w:hAnsi="Times New Roman" w:cs="Times New Roman"/>
                <w:color w:val="auto"/>
                <w:kern w:val="24"/>
                <w:sz w:val="24"/>
                <w:highlight w:val="none"/>
              </w:rPr>
              <w:t>1</w:t>
            </w:r>
          </w:p>
        </w:tc>
        <w:tc>
          <w:tcPr>
            <w:tcW w:w="1881" w:type="pct"/>
            <w:vAlign w:val="center"/>
          </w:tcPr>
          <w:p>
            <w:pPr>
              <w:keepNext w:val="0"/>
              <w:keepLines w:val="0"/>
              <w:widowControl/>
              <w:suppressLineNumbers w:val="0"/>
              <w:kinsoku w:val="0"/>
              <w:overflowPunct w:val="0"/>
              <w:spacing w:before="0" w:beforeAutospacing="0" w:after="0" w:afterAutospacing="0"/>
              <w:ind w:left="0" w:right="0"/>
              <w:jc w:val="center"/>
              <w:textAlignment w:val="baseline"/>
              <w:rPr>
                <w:rFonts w:hint="default" w:ascii="Times New Roman" w:hAnsi="Times New Roman" w:cs="Times New Roman"/>
                <w:color w:val="auto"/>
                <w:kern w:val="24"/>
                <w:sz w:val="24"/>
                <w:highlight w:val="none"/>
              </w:rPr>
            </w:pPr>
            <w:r>
              <w:rPr>
                <w:rFonts w:hint="eastAsia" w:ascii="Times New Roman" w:hAnsi="Times New Roman" w:cs="Times New Roman"/>
                <w:color w:val="auto"/>
                <w:kern w:val="24"/>
                <w:sz w:val="24"/>
                <w:highlight w:val="none"/>
                <w:lang w:val="en-US" w:eastAsia="zh-CN"/>
              </w:rPr>
              <w:t>次高压</w:t>
            </w:r>
            <w:r>
              <w:rPr>
                <w:rFonts w:hint="default" w:ascii="Times New Roman" w:hAnsi="Times New Roman" w:cs="Times New Roman"/>
                <w:color w:val="auto"/>
                <w:kern w:val="24"/>
                <w:sz w:val="24"/>
                <w:highlight w:val="none"/>
              </w:rPr>
              <w:t>管道</w:t>
            </w:r>
          </w:p>
        </w:tc>
        <w:tc>
          <w:tcPr>
            <w:tcW w:w="869" w:type="pct"/>
            <w:vAlign w:val="center"/>
          </w:tcPr>
          <w:p>
            <w:pPr>
              <w:keepNext w:val="0"/>
              <w:keepLines w:val="0"/>
              <w:widowControl/>
              <w:suppressLineNumbers w:val="0"/>
              <w:kinsoku w:val="0"/>
              <w:overflowPunct w:val="0"/>
              <w:spacing w:before="58" w:beforeAutospacing="0" w:after="0" w:afterAutospacing="0"/>
              <w:ind w:left="0" w:right="0"/>
              <w:jc w:val="center"/>
              <w:textAlignment w:val="baseline"/>
              <w:rPr>
                <w:rFonts w:hint="default" w:ascii="Times New Roman" w:hAnsi="Times New Roman" w:cs="Times New Roman"/>
                <w:color w:val="0000FF"/>
                <w:kern w:val="24"/>
                <w:sz w:val="24"/>
                <w:highlight w:val="none"/>
              </w:rPr>
            </w:pPr>
            <w:r>
              <w:rPr>
                <w:rFonts w:hint="eastAsia" w:ascii="Times New Roman" w:hAnsi="Times New Roman" w:cs="Times New Roman"/>
                <w:color w:val="0000FF"/>
                <w:kern w:val="24"/>
                <w:sz w:val="24"/>
                <w:highlight w:val="none"/>
                <w:lang w:val="en-US" w:eastAsia="zh-CN"/>
              </w:rPr>
              <w:t>18.05</w:t>
            </w:r>
            <w:r>
              <w:rPr>
                <w:rFonts w:hint="eastAsia" w:ascii="Times New Roman" w:hAnsi="Times New Roman" w:cs="Times New Roman"/>
                <w:color w:val="0000FF"/>
                <w:kern w:val="24"/>
                <w:sz w:val="24"/>
                <w:highlight w:val="none"/>
              </w:rPr>
              <w:t>km</w:t>
            </w:r>
          </w:p>
        </w:tc>
        <w:tc>
          <w:tcPr>
            <w:tcW w:w="937" w:type="pct"/>
            <w:vAlign w:val="center"/>
          </w:tcPr>
          <w:p>
            <w:pPr>
              <w:keepNext w:val="0"/>
              <w:keepLines w:val="0"/>
              <w:widowControl/>
              <w:suppressLineNumbers w:val="0"/>
              <w:kinsoku w:val="0"/>
              <w:overflowPunct w:val="0"/>
              <w:spacing w:before="58" w:beforeAutospacing="0" w:after="0" w:afterAutospacing="0"/>
              <w:ind w:left="0" w:right="0"/>
              <w:jc w:val="center"/>
              <w:textAlignment w:val="baseline"/>
              <w:rPr>
                <w:rFonts w:hint="default" w:ascii="Times New Roman" w:hAnsi="Times New Roman" w:cs="Times New Roman"/>
                <w:color w:val="0000FF"/>
                <w:kern w:val="24"/>
                <w:sz w:val="24"/>
                <w:highlight w:val="none"/>
                <w:lang w:val="en-US" w:eastAsia="zh-CN"/>
              </w:rPr>
            </w:pPr>
            <w:r>
              <w:rPr>
                <w:rFonts w:hint="eastAsia" w:ascii="Times New Roman" w:hAnsi="Times New Roman" w:cs="Times New Roman"/>
                <w:color w:val="0000FF"/>
                <w:kern w:val="24"/>
                <w:sz w:val="24"/>
                <w:highlight w:val="none"/>
                <w:lang w:val="en-US" w:eastAsia="zh-CN"/>
              </w:rPr>
              <w:t>17.70km</w:t>
            </w:r>
          </w:p>
        </w:tc>
        <w:tc>
          <w:tcPr>
            <w:tcW w:w="937" w:type="pct"/>
            <w:tcBorders>
              <w:right w:val="nil"/>
            </w:tcBorders>
            <w:vAlign w:val="center"/>
          </w:tcPr>
          <w:p>
            <w:pPr>
              <w:keepNext w:val="0"/>
              <w:keepLines w:val="0"/>
              <w:widowControl/>
              <w:suppressLineNumbers w:val="0"/>
              <w:kinsoku w:val="0"/>
              <w:overflowPunct w:val="0"/>
              <w:spacing w:before="58" w:beforeAutospacing="0" w:after="0" w:afterAutospacing="0"/>
              <w:ind w:left="0" w:right="0"/>
              <w:jc w:val="center"/>
              <w:textAlignment w:val="baseline"/>
              <w:rPr>
                <w:rFonts w:hint="default" w:ascii="Times New Roman" w:hAnsi="Times New Roman" w:cs="Times New Roman"/>
                <w:color w:val="0000FF"/>
                <w:kern w:val="24"/>
                <w:sz w:val="24"/>
                <w:highlight w:val="none"/>
              </w:rPr>
            </w:pPr>
            <w:r>
              <w:rPr>
                <w:rFonts w:hint="eastAsia" w:ascii="Times New Roman" w:hAnsi="Times New Roman" w:cs="Times New Roman"/>
                <w:color w:val="0000FF"/>
                <w:kern w:val="24"/>
                <w:sz w:val="24"/>
                <w:highlight w:val="none"/>
                <w:lang w:val="en-US" w:eastAsia="zh-CN"/>
              </w:rPr>
              <w:t>1.40</w:t>
            </w:r>
            <w:r>
              <w:rPr>
                <w:rFonts w:hint="eastAsia" w:ascii="Times New Roman" w:hAnsi="Times New Roman" w:cs="Times New Roman"/>
                <w:color w:val="0000FF"/>
                <w:kern w:val="24"/>
                <w:sz w:val="24"/>
                <w:highlight w:val="none"/>
              </w:rPr>
              <w:t>km</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4" w:type="pct"/>
            <w:tcBorders>
              <w:left w:val="nil"/>
            </w:tcBorders>
            <w:vAlign w:val="center"/>
          </w:tcPr>
          <w:p>
            <w:pPr>
              <w:keepNext w:val="0"/>
              <w:keepLines w:val="0"/>
              <w:widowControl/>
              <w:suppressLineNumbers w:val="0"/>
              <w:kinsoku w:val="0"/>
              <w:overflowPunct w:val="0"/>
              <w:spacing w:before="0" w:beforeAutospacing="0" w:after="0" w:afterAutospacing="0"/>
              <w:ind w:left="0" w:right="0"/>
              <w:jc w:val="center"/>
              <w:textAlignment w:val="baseline"/>
              <w:rPr>
                <w:rFonts w:hint="eastAsia" w:ascii="Times New Roman" w:hAnsi="Times New Roman" w:cs="Times New Roman" w:eastAsiaTheme="minorEastAsia"/>
                <w:color w:val="auto"/>
                <w:kern w:val="24"/>
                <w:sz w:val="24"/>
                <w:highlight w:val="none"/>
                <w:lang w:val="en-US" w:eastAsia="zh-CN"/>
              </w:rPr>
            </w:pPr>
            <w:r>
              <w:rPr>
                <w:rFonts w:hint="eastAsia" w:ascii="Times New Roman" w:hAnsi="Times New Roman" w:cs="Times New Roman"/>
                <w:color w:val="auto"/>
                <w:kern w:val="24"/>
                <w:sz w:val="24"/>
                <w:highlight w:val="none"/>
                <w:lang w:val="en-US" w:eastAsia="zh-CN"/>
              </w:rPr>
              <w:t>2</w:t>
            </w:r>
          </w:p>
        </w:tc>
        <w:tc>
          <w:tcPr>
            <w:tcW w:w="1881" w:type="pct"/>
            <w:vAlign w:val="center"/>
          </w:tcPr>
          <w:p>
            <w:pPr>
              <w:keepNext w:val="0"/>
              <w:keepLines w:val="0"/>
              <w:widowControl/>
              <w:suppressLineNumbers w:val="0"/>
              <w:kinsoku w:val="0"/>
              <w:overflowPunct w:val="0"/>
              <w:spacing w:before="0" w:beforeAutospacing="0" w:after="0" w:afterAutospacing="0"/>
              <w:ind w:left="0" w:right="0"/>
              <w:jc w:val="center"/>
              <w:textAlignment w:val="baseline"/>
              <w:rPr>
                <w:rFonts w:hint="default" w:ascii="Times New Roman" w:hAnsi="Times New Roman" w:cs="Times New Roman"/>
                <w:color w:val="auto"/>
                <w:kern w:val="24"/>
                <w:sz w:val="24"/>
                <w:highlight w:val="none"/>
                <w:lang w:val="en-US" w:eastAsia="zh-CN"/>
              </w:rPr>
            </w:pPr>
            <w:r>
              <w:rPr>
                <w:rFonts w:hint="eastAsia" w:ascii="Times New Roman" w:hAnsi="Times New Roman" w:cs="Times New Roman"/>
                <w:color w:val="auto"/>
                <w:kern w:val="24"/>
                <w:sz w:val="24"/>
                <w:highlight w:val="none"/>
                <w:lang w:val="en-US" w:eastAsia="zh-CN"/>
              </w:rPr>
              <w:t>中压管道</w:t>
            </w:r>
          </w:p>
        </w:tc>
        <w:tc>
          <w:tcPr>
            <w:tcW w:w="869" w:type="pct"/>
            <w:vAlign w:val="center"/>
          </w:tcPr>
          <w:p>
            <w:pPr>
              <w:keepNext w:val="0"/>
              <w:keepLines w:val="0"/>
              <w:widowControl/>
              <w:suppressLineNumbers w:val="0"/>
              <w:kinsoku w:val="0"/>
              <w:overflowPunct w:val="0"/>
              <w:spacing w:before="58" w:beforeAutospacing="0" w:after="0" w:afterAutospacing="0"/>
              <w:ind w:left="0" w:right="0"/>
              <w:jc w:val="center"/>
              <w:textAlignment w:val="baseline"/>
              <w:rPr>
                <w:rFonts w:hint="default" w:ascii="Times New Roman" w:hAnsi="Times New Roman" w:cs="Times New Roman"/>
                <w:color w:val="0000FF"/>
                <w:kern w:val="24"/>
                <w:sz w:val="24"/>
                <w:highlight w:val="none"/>
                <w:lang w:val="en-US" w:eastAsia="zh-CN"/>
              </w:rPr>
            </w:pPr>
            <w:r>
              <w:rPr>
                <w:rFonts w:hint="eastAsia" w:ascii="Times New Roman" w:hAnsi="Times New Roman" w:cs="Times New Roman"/>
                <w:color w:val="0000FF"/>
                <w:kern w:val="24"/>
                <w:sz w:val="24"/>
                <w:highlight w:val="none"/>
                <w:lang w:val="en-US" w:eastAsia="zh-CN"/>
              </w:rPr>
              <w:t>1.30km</w:t>
            </w:r>
          </w:p>
        </w:tc>
        <w:tc>
          <w:tcPr>
            <w:tcW w:w="937" w:type="pct"/>
            <w:vAlign w:val="center"/>
          </w:tcPr>
          <w:p>
            <w:pPr>
              <w:keepNext w:val="0"/>
              <w:keepLines w:val="0"/>
              <w:widowControl/>
              <w:suppressLineNumbers w:val="0"/>
              <w:kinsoku w:val="0"/>
              <w:overflowPunct w:val="0"/>
              <w:spacing w:before="58" w:beforeAutospacing="0" w:after="0" w:afterAutospacing="0"/>
              <w:ind w:left="0" w:right="0"/>
              <w:jc w:val="center"/>
              <w:textAlignment w:val="baseline"/>
              <w:rPr>
                <w:rFonts w:hint="eastAsia" w:ascii="Times New Roman" w:hAnsi="Times New Roman" w:cs="Times New Roman"/>
                <w:color w:val="0000FF"/>
                <w:kern w:val="24"/>
                <w:sz w:val="24"/>
                <w:highlight w:val="none"/>
                <w:lang w:val="en-US" w:eastAsia="zh-CN"/>
              </w:rPr>
            </w:pPr>
            <w:r>
              <w:rPr>
                <w:rFonts w:hint="eastAsia" w:ascii="Times New Roman" w:hAnsi="Times New Roman" w:cs="Times New Roman"/>
                <w:color w:val="0000FF"/>
                <w:kern w:val="24"/>
                <w:sz w:val="24"/>
                <w:highlight w:val="none"/>
                <w:lang w:val="en-US" w:eastAsia="zh-CN"/>
              </w:rPr>
              <w:t>4.20km</w:t>
            </w:r>
          </w:p>
        </w:tc>
        <w:tc>
          <w:tcPr>
            <w:tcW w:w="937" w:type="pct"/>
            <w:tcBorders>
              <w:right w:val="nil"/>
            </w:tcBorders>
            <w:vAlign w:val="center"/>
          </w:tcPr>
          <w:p>
            <w:pPr>
              <w:keepNext w:val="0"/>
              <w:keepLines w:val="0"/>
              <w:widowControl/>
              <w:suppressLineNumbers w:val="0"/>
              <w:kinsoku w:val="0"/>
              <w:overflowPunct w:val="0"/>
              <w:spacing w:before="58" w:beforeAutospacing="0" w:after="0" w:afterAutospacing="0"/>
              <w:ind w:left="0" w:right="0"/>
              <w:jc w:val="center"/>
              <w:textAlignment w:val="baseline"/>
              <w:rPr>
                <w:rFonts w:hint="default" w:ascii="Times New Roman" w:hAnsi="Times New Roman" w:cs="Times New Roman"/>
                <w:color w:val="0000FF"/>
                <w:kern w:val="24"/>
                <w:sz w:val="24"/>
                <w:highlight w:val="none"/>
                <w:lang w:val="en-US" w:eastAsia="zh-CN"/>
              </w:rPr>
            </w:pPr>
            <w:r>
              <w:rPr>
                <w:rFonts w:hint="eastAsia" w:ascii="Times New Roman" w:hAnsi="Times New Roman" w:cs="Times New Roman"/>
                <w:color w:val="0000FF"/>
                <w:kern w:val="24"/>
                <w:sz w:val="24"/>
                <w:highlight w:val="none"/>
                <w:lang w:val="en-US" w:eastAsia="zh-CN"/>
              </w:rPr>
              <w:t>0.00km</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4" w:type="pct"/>
            <w:tcBorders>
              <w:left w:val="nil"/>
            </w:tcBorders>
            <w:vAlign w:val="center"/>
          </w:tcPr>
          <w:p>
            <w:pPr>
              <w:keepNext w:val="0"/>
              <w:keepLines w:val="0"/>
              <w:widowControl/>
              <w:suppressLineNumbers w:val="0"/>
              <w:kinsoku w:val="0"/>
              <w:overflowPunct w:val="0"/>
              <w:spacing w:before="0" w:beforeAutospacing="0" w:after="0" w:afterAutospacing="0"/>
              <w:ind w:left="0" w:right="0"/>
              <w:jc w:val="center"/>
              <w:textAlignment w:val="baseline"/>
              <w:rPr>
                <w:rFonts w:hint="default" w:ascii="Times New Roman" w:hAnsi="Times New Roman" w:cs="Times New Roman" w:eastAsiaTheme="minorEastAsia"/>
                <w:color w:val="auto"/>
                <w:kern w:val="24"/>
                <w:sz w:val="24"/>
                <w:highlight w:val="none"/>
                <w:lang w:val="en-US" w:eastAsia="zh-CN"/>
              </w:rPr>
            </w:pPr>
            <w:r>
              <w:rPr>
                <w:rFonts w:hint="eastAsia" w:ascii="Times New Roman" w:hAnsi="Times New Roman" w:cs="Times New Roman"/>
                <w:color w:val="auto"/>
                <w:kern w:val="24"/>
                <w:sz w:val="24"/>
                <w:highlight w:val="none"/>
                <w:lang w:val="en-US" w:eastAsia="zh-CN"/>
              </w:rPr>
              <w:t>3</w:t>
            </w:r>
          </w:p>
        </w:tc>
        <w:tc>
          <w:tcPr>
            <w:tcW w:w="1881" w:type="pct"/>
            <w:vAlign w:val="center"/>
          </w:tcPr>
          <w:p>
            <w:pPr>
              <w:keepNext w:val="0"/>
              <w:keepLines w:val="0"/>
              <w:widowControl/>
              <w:suppressLineNumbers w:val="0"/>
              <w:kinsoku w:val="0"/>
              <w:overflowPunct w:val="0"/>
              <w:spacing w:before="0" w:beforeAutospacing="0" w:after="0" w:afterAutospacing="0"/>
              <w:ind w:left="0" w:right="0"/>
              <w:jc w:val="center"/>
              <w:textAlignment w:val="baseline"/>
              <w:rPr>
                <w:rFonts w:hint="default" w:ascii="Times New Roman" w:hAnsi="Times New Roman" w:cs="Times New Roman"/>
                <w:color w:val="auto"/>
                <w:kern w:val="24"/>
                <w:sz w:val="24"/>
                <w:highlight w:val="none"/>
              </w:rPr>
            </w:pPr>
            <w:r>
              <w:rPr>
                <w:rFonts w:hint="eastAsia" w:ascii="Times New Roman" w:hAnsi="Times New Roman" w:cs="Times New Roman"/>
                <w:color w:val="auto"/>
                <w:kern w:val="24"/>
                <w:sz w:val="24"/>
                <w:highlight w:val="none"/>
              </w:rPr>
              <w:t>高中压调压站</w:t>
            </w:r>
          </w:p>
        </w:tc>
        <w:tc>
          <w:tcPr>
            <w:tcW w:w="869" w:type="pct"/>
            <w:vAlign w:val="center"/>
          </w:tcPr>
          <w:p>
            <w:pPr>
              <w:keepNext w:val="0"/>
              <w:keepLines w:val="0"/>
              <w:widowControl/>
              <w:suppressLineNumbers w:val="0"/>
              <w:kinsoku w:val="0"/>
              <w:overflowPunct w:val="0"/>
              <w:spacing w:before="58" w:beforeAutospacing="0" w:after="0" w:afterAutospacing="0"/>
              <w:ind w:left="0" w:right="0"/>
              <w:jc w:val="center"/>
              <w:textAlignment w:val="baseline"/>
              <w:rPr>
                <w:rFonts w:hint="eastAsia" w:ascii="Times New Roman" w:hAnsi="Times New Roman" w:eastAsia="宋体" w:cs="Times New Roman"/>
                <w:color w:val="0000FF"/>
                <w:kern w:val="24"/>
                <w:sz w:val="24"/>
                <w:highlight w:val="none"/>
                <w:lang w:eastAsia="zh-CN"/>
              </w:rPr>
            </w:pPr>
            <w:r>
              <w:rPr>
                <w:rFonts w:hint="eastAsia" w:ascii="Times New Roman" w:hAnsi="Times New Roman" w:eastAsia="宋体" w:cs="Times New Roman"/>
                <w:color w:val="0000FF"/>
                <w:kern w:val="24"/>
                <w:sz w:val="24"/>
                <w:highlight w:val="none"/>
                <w:lang w:val="en-US" w:eastAsia="zh-CN"/>
              </w:rPr>
              <w:t>0</w:t>
            </w:r>
            <w:r>
              <w:rPr>
                <w:rFonts w:hint="eastAsia" w:ascii="Times New Roman" w:hAnsi="Times New Roman" w:eastAsia="宋体" w:cs="Times New Roman"/>
                <w:color w:val="0000FF"/>
                <w:kern w:val="24"/>
                <w:sz w:val="24"/>
                <w:highlight w:val="none"/>
              </w:rPr>
              <w:t>座</w:t>
            </w:r>
          </w:p>
        </w:tc>
        <w:tc>
          <w:tcPr>
            <w:tcW w:w="937" w:type="pct"/>
            <w:vAlign w:val="center"/>
          </w:tcPr>
          <w:p>
            <w:pPr>
              <w:keepNext w:val="0"/>
              <w:keepLines w:val="0"/>
              <w:widowControl/>
              <w:suppressLineNumbers w:val="0"/>
              <w:kinsoku w:val="0"/>
              <w:overflowPunct w:val="0"/>
              <w:spacing w:before="58" w:beforeAutospacing="0" w:after="0" w:afterAutospacing="0"/>
              <w:ind w:left="0" w:right="0"/>
              <w:jc w:val="center"/>
              <w:textAlignment w:val="baseline"/>
              <w:rPr>
                <w:rFonts w:hint="eastAsia" w:ascii="Times New Roman" w:hAnsi="Times New Roman" w:eastAsia="宋体" w:cs="Times New Roman"/>
                <w:color w:val="0000FF"/>
                <w:kern w:val="24"/>
                <w:sz w:val="24"/>
                <w:highlight w:val="none"/>
              </w:rPr>
            </w:pPr>
            <w:r>
              <w:rPr>
                <w:rFonts w:hint="eastAsia" w:ascii="Times New Roman" w:hAnsi="Times New Roman" w:eastAsia="宋体" w:cs="Times New Roman"/>
                <w:color w:val="0000FF"/>
                <w:kern w:val="24"/>
                <w:sz w:val="24"/>
                <w:highlight w:val="none"/>
              </w:rPr>
              <w:t>1座</w:t>
            </w:r>
          </w:p>
        </w:tc>
        <w:tc>
          <w:tcPr>
            <w:tcW w:w="937" w:type="pct"/>
            <w:tcBorders>
              <w:right w:val="nil"/>
            </w:tcBorders>
            <w:vAlign w:val="center"/>
          </w:tcPr>
          <w:p>
            <w:pPr>
              <w:keepNext w:val="0"/>
              <w:keepLines w:val="0"/>
              <w:widowControl/>
              <w:suppressLineNumbers w:val="0"/>
              <w:kinsoku w:val="0"/>
              <w:overflowPunct w:val="0"/>
              <w:spacing w:before="58" w:beforeAutospacing="0" w:after="0" w:afterAutospacing="0"/>
              <w:ind w:left="0" w:right="0"/>
              <w:jc w:val="center"/>
              <w:textAlignment w:val="baseline"/>
              <w:rPr>
                <w:rFonts w:hint="eastAsia" w:ascii="Times New Roman" w:hAnsi="Times New Roman" w:eastAsia="宋体" w:cs="Times New Roman"/>
                <w:color w:val="0000FF"/>
                <w:kern w:val="24"/>
                <w:sz w:val="24"/>
                <w:highlight w:val="none"/>
                <w:lang w:eastAsia="zh-CN"/>
              </w:rPr>
            </w:pPr>
            <w:r>
              <w:rPr>
                <w:rFonts w:hint="eastAsia" w:ascii="Times New Roman" w:hAnsi="Times New Roman" w:eastAsia="宋体" w:cs="Times New Roman"/>
                <w:color w:val="0000FF"/>
                <w:kern w:val="24"/>
                <w:sz w:val="24"/>
                <w:highlight w:val="none"/>
                <w:lang w:val="en-US" w:eastAsia="zh-CN"/>
              </w:rPr>
              <w:t>0</w:t>
            </w:r>
            <w:r>
              <w:rPr>
                <w:rFonts w:hint="eastAsia" w:ascii="Times New Roman" w:hAnsi="Times New Roman" w:eastAsia="宋体" w:cs="Times New Roman"/>
                <w:color w:val="0000FF"/>
                <w:kern w:val="24"/>
                <w:sz w:val="24"/>
                <w:highlight w:val="none"/>
              </w:rPr>
              <w:t>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4" w:type="pct"/>
            <w:tcBorders>
              <w:left w:val="nil"/>
            </w:tcBorders>
            <w:vAlign w:val="center"/>
          </w:tcPr>
          <w:p>
            <w:pPr>
              <w:keepNext w:val="0"/>
              <w:keepLines w:val="0"/>
              <w:widowControl/>
              <w:suppressLineNumbers w:val="0"/>
              <w:kinsoku w:val="0"/>
              <w:overflowPunct w:val="0"/>
              <w:spacing w:before="0" w:beforeAutospacing="0" w:after="0" w:afterAutospacing="0"/>
              <w:ind w:left="0" w:right="0"/>
              <w:jc w:val="center"/>
              <w:textAlignment w:val="baseline"/>
              <w:rPr>
                <w:rFonts w:hint="default" w:ascii="Times New Roman" w:hAnsi="Times New Roman" w:cs="Times New Roman"/>
                <w:color w:val="auto"/>
                <w:kern w:val="24"/>
                <w:sz w:val="24"/>
                <w:highlight w:val="none"/>
                <w:lang w:val="en-US" w:eastAsia="zh-CN"/>
              </w:rPr>
            </w:pPr>
            <w:r>
              <w:rPr>
                <w:rFonts w:hint="eastAsia" w:ascii="Times New Roman" w:hAnsi="Times New Roman" w:cs="Times New Roman"/>
                <w:color w:val="auto"/>
                <w:kern w:val="24"/>
                <w:sz w:val="24"/>
                <w:highlight w:val="none"/>
                <w:lang w:val="en-US" w:eastAsia="zh-CN"/>
              </w:rPr>
              <w:t>4</w:t>
            </w:r>
          </w:p>
        </w:tc>
        <w:tc>
          <w:tcPr>
            <w:tcW w:w="1881" w:type="pct"/>
            <w:vAlign w:val="center"/>
          </w:tcPr>
          <w:p>
            <w:pPr>
              <w:keepNext w:val="0"/>
              <w:keepLines w:val="0"/>
              <w:widowControl/>
              <w:suppressLineNumbers w:val="0"/>
              <w:kinsoku w:val="0"/>
              <w:overflowPunct w:val="0"/>
              <w:spacing w:before="0" w:beforeAutospacing="0" w:after="0" w:afterAutospacing="0"/>
              <w:ind w:left="0" w:right="0"/>
              <w:jc w:val="center"/>
              <w:textAlignment w:val="baseline"/>
              <w:rPr>
                <w:rFonts w:hint="default" w:ascii="Times New Roman" w:hAnsi="Times New Roman" w:cs="Times New Roman"/>
                <w:color w:val="auto"/>
                <w:kern w:val="24"/>
                <w:sz w:val="24"/>
                <w:highlight w:val="none"/>
              </w:rPr>
            </w:pPr>
            <w:r>
              <w:rPr>
                <w:rFonts w:hint="eastAsia" w:ascii="Times New Roman" w:hAnsi="Times New Roman" w:cs="Times New Roman"/>
                <w:color w:val="auto"/>
                <w:kern w:val="24"/>
                <w:sz w:val="24"/>
                <w:highlight w:val="none"/>
              </w:rPr>
              <w:t>CNG减压站和次高压调压站合建站</w:t>
            </w:r>
          </w:p>
        </w:tc>
        <w:tc>
          <w:tcPr>
            <w:tcW w:w="869" w:type="pct"/>
            <w:vAlign w:val="center"/>
          </w:tcPr>
          <w:p>
            <w:pPr>
              <w:keepNext w:val="0"/>
              <w:keepLines w:val="0"/>
              <w:widowControl/>
              <w:suppressLineNumbers w:val="0"/>
              <w:kinsoku w:val="0"/>
              <w:overflowPunct w:val="0"/>
              <w:spacing w:before="58" w:beforeAutospacing="0" w:after="0" w:afterAutospacing="0"/>
              <w:ind w:left="0" w:right="0"/>
              <w:jc w:val="center"/>
              <w:textAlignment w:val="baseline"/>
              <w:rPr>
                <w:rFonts w:hint="default" w:ascii="Times New Roman" w:hAnsi="Times New Roman" w:eastAsia="宋体" w:cs="Times New Roman"/>
                <w:color w:val="0000FF"/>
                <w:kern w:val="24"/>
                <w:sz w:val="24"/>
                <w:highlight w:val="none"/>
                <w:lang w:val="en-US" w:eastAsia="zh-CN"/>
              </w:rPr>
            </w:pPr>
            <w:r>
              <w:rPr>
                <w:rFonts w:hint="eastAsia" w:ascii="Times New Roman" w:hAnsi="Times New Roman" w:eastAsia="宋体" w:cs="Times New Roman"/>
                <w:color w:val="0000FF"/>
                <w:kern w:val="24"/>
                <w:sz w:val="24"/>
                <w:highlight w:val="none"/>
                <w:lang w:val="en-US" w:eastAsia="zh-CN"/>
              </w:rPr>
              <w:t>1座</w:t>
            </w:r>
          </w:p>
        </w:tc>
        <w:tc>
          <w:tcPr>
            <w:tcW w:w="937" w:type="pct"/>
            <w:vAlign w:val="center"/>
          </w:tcPr>
          <w:p>
            <w:pPr>
              <w:keepNext w:val="0"/>
              <w:keepLines w:val="0"/>
              <w:widowControl/>
              <w:suppressLineNumbers w:val="0"/>
              <w:kinsoku w:val="0"/>
              <w:overflowPunct w:val="0"/>
              <w:spacing w:before="58" w:beforeAutospacing="0" w:after="0" w:afterAutospacing="0"/>
              <w:ind w:left="0" w:right="0"/>
              <w:jc w:val="center"/>
              <w:textAlignment w:val="baseline"/>
              <w:rPr>
                <w:rFonts w:hint="eastAsia" w:ascii="Times New Roman" w:hAnsi="Times New Roman" w:eastAsia="宋体" w:cs="Times New Roman"/>
                <w:color w:val="0000FF"/>
                <w:kern w:val="24"/>
                <w:sz w:val="24"/>
                <w:highlight w:val="none"/>
                <w:lang w:eastAsia="zh-CN"/>
              </w:rPr>
            </w:pPr>
            <w:r>
              <w:rPr>
                <w:rFonts w:hint="eastAsia" w:ascii="Times New Roman" w:hAnsi="Times New Roman" w:eastAsia="宋体" w:cs="Times New Roman"/>
                <w:color w:val="0000FF"/>
                <w:kern w:val="24"/>
                <w:sz w:val="24"/>
                <w:highlight w:val="none"/>
                <w:lang w:val="en-US" w:eastAsia="zh-CN"/>
              </w:rPr>
              <w:t>0</w:t>
            </w:r>
            <w:r>
              <w:rPr>
                <w:rFonts w:hint="eastAsia" w:ascii="Times New Roman" w:hAnsi="Times New Roman" w:eastAsia="宋体" w:cs="Times New Roman"/>
                <w:color w:val="0000FF"/>
                <w:kern w:val="24"/>
                <w:sz w:val="24"/>
                <w:highlight w:val="none"/>
              </w:rPr>
              <w:t>座</w:t>
            </w:r>
          </w:p>
        </w:tc>
        <w:tc>
          <w:tcPr>
            <w:tcW w:w="937" w:type="pct"/>
            <w:tcBorders>
              <w:right w:val="nil"/>
            </w:tcBorders>
            <w:vAlign w:val="center"/>
          </w:tcPr>
          <w:p>
            <w:pPr>
              <w:keepNext w:val="0"/>
              <w:keepLines w:val="0"/>
              <w:widowControl/>
              <w:suppressLineNumbers w:val="0"/>
              <w:kinsoku w:val="0"/>
              <w:overflowPunct w:val="0"/>
              <w:spacing w:before="58" w:beforeAutospacing="0" w:after="0" w:afterAutospacing="0"/>
              <w:ind w:left="0" w:right="0"/>
              <w:jc w:val="center"/>
              <w:textAlignment w:val="baseline"/>
              <w:rPr>
                <w:rFonts w:hint="eastAsia" w:ascii="Times New Roman" w:hAnsi="Times New Roman" w:eastAsia="宋体" w:cs="Times New Roman"/>
                <w:color w:val="0000FF"/>
                <w:kern w:val="24"/>
                <w:sz w:val="24"/>
                <w:highlight w:val="none"/>
              </w:rPr>
            </w:pPr>
            <w:r>
              <w:rPr>
                <w:rFonts w:hint="eastAsia" w:ascii="Times New Roman" w:hAnsi="Times New Roman" w:eastAsia="宋体" w:cs="Times New Roman"/>
                <w:color w:val="0000FF"/>
                <w:kern w:val="24"/>
                <w:sz w:val="24"/>
                <w:highlight w:val="none"/>
                <w:lang w:val="en-US" w:eastAsia="zh-CN"/>
              </w:rPr>
              <w:t>0</w:t>
            </w:r>
            <w:r>
              <w:rPr>
                <w:rFonts w:hint="eastAsia" w:ascii="Times New Roman" w:hAnsi="Times New Roman" w:eastAsia="宋体" w:cs="Times New Roman"/>
                <w:color w:val="0000FF"/>
                <w:kern w:val="24"/>
                <w:sz w:val="24"/>
                <w:highlight w:val="none"/>
              </w:rPr>
              <w:t>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4" w:type="pct"/>
            <w:tcBorders>
              <w:left w:val="nil"/>
              <w:bottom w:val="thickThinSmallGap" w:color="auto" w:sz="24" w:space="0"/>
            </w:tcBorders>
            <w:vAlign w:val="center"/>
          </w:tcPr>
          <w:p>
            <w:pPr>
              <w:keepNext w:val="0"/>
              <w:keepLines w:val="0"/>
              <w:widowControl/>
              <w:suppressLineNumbers w:val="0"/>
              <w:kinsoku w:val="0"/>
              <w:overflowPunct w:val="0"/>
              <w:spacing w:before="0" w:beforeAutospacing="0" w:after="0" w:afterAutospacing="0"/>
              <w:ind w:left="0" w:right="0"/>
              <w:jc w:val="center"/>
              <w:textAlignment w:val="baseline"/>
              <w:rPr>
                <w:rFonts w:hint="default" w:ascii="Times New Roman" w:hAnsi="Times New Roman" w:cs="Times New Roman"/>
                <w:color w:val="auto"/>
                <w:kern w:val="24"/>
                <w:sz w:val="24"/>
                <w:highlight w:val="none"/>
                <w:lang w:val="en-US" w:eastAsia="zh-CN"/>
              </w:rPr>
            </w:pPr>
            <w:r>
              <w:rPr>
                <w:rFonts w:hint="eastAsia" w:ascii="Times New Roman" w:hAnsi="Times New Roman" w:cs="Times New Roman"/>
                <w:color w:val="auto"/>
                <w:kern w:val="24"/>
                <w:sz w:val="24"/>
                <w:highlight w:val="none"/>
                <w:lang w:val="en-US" w:eastAsia="zh-CN"/>
              </w:rPr>
              <w:t>5</w:t>
            </w:r>
          </w:p>
        </w:tc>
        <w:tc>
          <w:tcPr>
            <w:tcW w:w="1881" w:type="pct"/>
            <w:tcBorders>
              <w:bottom w:val="thickThinSmallGap" w:color="auto" w:sz="24" w:space="0"/>
            </w:tcBorders>
            <w:vAlign w:val="center"/>
          </w:tcPr>
          <w:p>
            <w:pPr>
              <w:keepNext w:val="0"/>
              <w:keepLines w:val="0"/>
              <w:widowControl/>
              <w:suppressLineNumbers w:val="0"/>
              <w:kinsoku w:val="0"/>
              <w:overflowPunct w:val="0"/>
              <w:spacing w:before="0" w:beforeAutospacing="0" w:after="0" w:afterAutospacing="0"/>
              <w:ind w:left="0" w:right="0"/>
              <w:jc w:val="center"/>
              <w:textAlignment w:val="baseline"/>
              <w:rPr>
                <w:rFonts w:hint="default" w:ascii="Times New Roman" w:hAnsi="Times New Roman" w:cs="Times New Roman" w:eastAsiaTheme="minorEastAsia"/>
                <w:color w:val="auto"/>
                <w:kern w:val="24"/>
                <w:sz w:val="24"/>
                <w:szCs w:val="24"/>
                <w:highlight w:val="none"/>
                <w:lang w:val="en-US" w:eastAsia="zh-CN" w:bidi="ar-SA"/>
              </w:rPr>
            </w:pPr>
            <w:r>
              <w:rPr>
                <w:rFonts w:hint="default" w:ascii="Times New Roman" w:hAnsi="Times New Roman" w:cs="Times New Roman"/>
                <w:color w:val="auto"/>
                <w:kern w:val="24"/>
                <w:sz w:val="24"/>
                <w:highlight w:val="none"/>
              </w:rPr>
              <w:t>LNG储配站</w:t>
            </w:r>
          </w:p>
        </w:tc>
        <w:tc>
          <w:tcPr>
            <w:tcW w:w="869" w:type="pct"/>
            <w:tcBorders>
              <w:bottom w:val="thickThinSmallGap" w:color="auto" w:sz="24" w:space="0"/>
            </w:tcBorders>
            <w:vAlign w:val="center"/>
          </w:tcPr>
          <w:p>
            <w:pPr>
              <w:keepNext w:val="0"/>
              <w:keepLines w:val="0"/>
              <w:widowControl/>
              <w:suppressLineNumbers w:val="0"/>
              <w:kinsoku w:val="0"/>
              <w:overflowPunct w:val="0"/>
              <w:spacing w:before="58" w:beforeAutospacing="0" w:after="0" w:afterAutospacing="0"/>
              <w:ind w:left="0" w:right="0"/>
              <w:jc w:val="center"/>
              <w:textAlignment w:val="baseline"/>
              <w:rPr>
                <w:rFonts w:hint="eastAsia" w:ascii="Times New Roman" w:hAnsi="Times New Roman" w:eastAsia="宋体" w:cs="Times New Roman"/>
                <w:color w:val="0000FF"/>
                <w:kern w:val="24"/>
                <w:sz w:val="24"/>
                <w:szCs w:val="24"/>
                <w:highlight w:val="none"/>
                <w:lang w:val="en-US" w:eastAsia="zh-CN" w:bidi="ar-SA"/>
              </w:rPr>
            </w:pPr>
            <w:r>
              <w:rPr>
                <w:rFonts w:hint="eastAsia" w:ascii="Times New Roman" w:hAnsi="Times New Roman" w:eastAsia="宋体" w:cs="Times New Roman"/>
                <w:color w:val="0000FF"/>
                <w:kern w:val="24"/>
                <w:sz w:val="24"/>
                <w:highlight w:val="none"/>
                <w:lang w:val="en-US" w:eastAsia="zh-CN"/>
              </w:rPr>
              <w:t>0</w:t>
            </w:r>
            <w:r>
              <w:rPr>
                <w:rFonts w:hint="eastAsia" w:ascii="Times New Roman" w:hAnsi="Times New Roman" w:eastAsia="宋体" w:cs="Times New Roman"/>
                <w:color w:val="0000FF"/>
                <w:kern w:val="24"/>
                <w:sz w:val="24"/>
                <w:highlight w:val="none"/>
              </w:rPr>
              <w:t>座</w:t>
            </w:r>
          </w:p>
        </w:tc>
        <w:tc>
          <w:tcPr>
            <w:tcW w:w="937" w:type="pct"/>
            <w:tcBorders>
              <w:bottom w:val="thickThinSmallGap" w:color="auto" w:sz="24" w:space="0"/>
            </w:tcBorders>
            <w:vAlign w:val="center"/>
          </w:tcPr>
          <w:p>
            <w:pPr>
              <w:keepNext w:val="0"/>
              <w:keepLines w:val="0"/>
              <w:widowControl/>
              <w:suppressLineNumbers w:val="0"/>
              <w:kinsoku w:val="0"/>
              <w:overflowPunct w:val="0"/>
              <w:spacing w:before="58" w:beforeAutospacing="0" w:after="0" w:afterAutospacing="0"/>
              <w:ind w:left="0" w:right="0"/>
              <w:jc w:val="center"/>
              <w:textAlignment w:val="baseline"/>
              <w:rPr>
                <w:rFonts w:hint="eastAsia" w:ascii="Times New Roman" w:hAnsi="Times New Roman" w:eastAsia="宋体" w:cs="Times New Roman"/>
                <w:color w:val="0000FF"/>
                <w:kern w:val="24"/>
                <w:sz w:val="24"/>
                <w:highlight w:val="none"/>
              </w:rPr>
            </w:pPr>
            <w:r>
              <w:rPr>
                <w:rFonts w:hint="eastAsia" w:ascii="Times New Roman" w:hAnsi="Times New Roman" w:eastAsia="宋体" w:cs="Times New Roman"/>
                <w:color w:val="0000FF"/>
                <w:kern w:val="24"/>
                <w:sz w:val="24"/>
                <w:highlight w:val="none"/>
                <w:lang w:val="en-US" w:eastAsia="zh-CN"/>
              </w:rPr>
              <w:t>0</w:t>
            </w:r>
            <w:r>
              <w:rPr>
                <w:rFonts w:hint="eastAsia" w:ascii="Times New Roman" w:hAnsi="Times New Roman" w:eastAsia="宋体" w:cs="Times New Roman"/>
                <w:color w:val="0000FF"/>
                <w:kern w:val="24"/>
                <w:sz w:val="24"/>
                <w:highlight w:val="none"/>
              </w:rPr>
              <w:t>座</w:t>
            </w:r>
          </w:p>
        </w:tc>
        <w:tc>
          <w:tcPr>
            <w:tcW w:w="937" w:type="pct"/>
            <w:tcBorders>
              <w:bottom w:val="thickThinSmallGap" w:color="auto" w:sz="24" w:space="0"/>
              <w:right w:val="nil"/>
            </w:tcBorders>
            <w:vAlign w:val="center"/>
          </w:tcPr>
          <w:p>
            <w:pPr>
              <w:keepNext w:val="0"/>
              <w:keepLines w:val="0"/>
              <w:widowControl/>
              <w:suppressLineNumbers w:val="0"/>
              <w:kinsoku w:val="0"/>
              <w:overflowPunct w:val="0"/>
              <w:spacing w:before="58" w:beforeAutospacing="0" w:after="0" w:afterAutospacing="0"/>
              <w:ind w:left="0" w:right="0"/>
              <w:jc w:val="center"/>
              <w:textAlignment w:val="baseline"/>
              <w:rPr>
                <w:rFonts w:hint="eastAsia" w:ascii="Times New Roman" w:hAnsi="Times New Roman" w:eastAsia="宋体" w:cs="Times New Roman"/>
                <w:color w:val="0000FF"/>
                <w:kern w:val="24"/>
                <w:sz w:val="24"/>
                <w:szCs w:val="24"/>
                <w:highlight w:val="none"/>
                <w:lang w:val="en-US" w:eastAsia="zh-CN" w:bidi="ar-SA"/>
              </w:rPr>
            </w:pPr>
            <w:r>
              <w:rPr>
                <w:rFonts w:hint="eastAsia" w:ascii="Times New Roman" w:hAnsi="Times New Roman" w:eastAsia="宋体" w:cs="Times New Roman"/>
                <w:color w:val="0000FF"/>
                <w:kern w:val="24"/>
                <w:sz w:val="24"/>
                <w:highlight w:val="none"/>
              </w:rPr>
              <w:t>1座</w:t>
            </w:r>
          </w:p>
        </w:tc>
      </w:tr>
    </w:tbl>
    <w:p>
      <w:pPr>
        <w:bidi w:val="0"/>
        <w:rPr>
          <w:color w:val="auto"/>
          <w:highlight w:val="none"/>
        </w:rPr>
      </w:pPr>
    </w:p>
    <w:p>
      <w:pPr>
        <w:pStyle w:val="3"/>
        <w:rPr>
          <w:rFonts w:asciiTheme="minorHAnsi" w:hAnsiTheme="minorHAnsi"/>
          <w:color w:val="auto"/>
          <w:highlight w:val="none"/>
        </w:rPr>
      </w:pPr>
      <w:bookmarkStart w:id="96" w:name="_Toc9643"/>
      <w:bookmarkStart w:id="97" w:name="_Toc29781"/>
      <w:r>
        <w:rPr>
          <w:rFonts w:hint="eastAsia"/>
          <w:color w:val="auto"/>
          <w:highlight w:val="none"/>
        </w:rPr>
        <w:t>第三十</w:t>
      </w:r>
      <w:r>
        <w:rPr>
          <w:rFonts w:hint="eastAsia"/>
          <w:color w:val="auto"/>
          <w:highlight w:val="none"/>
          <w:lang w:val="en-US" w:eastAsia="zh-CN"/>
        </w:rPr>
        <w:t>六</w:t>
      </w:r>
      <w:r>
        <w:rPr>
          <w:rFonts w:hint="eastAsia"/>
          <w:color w:val="auto"/>
          <w:highlight w:val="none"/>
        </w:rPr>
        <w:t>条：</w:t>
      </w:r>
      <w:r>
        <w:rPr>
          <w:rFonts w:ascii="Times New Roman" w:hAnsi="Times New Roman"/>
          <w:color w:val="auto"/>
          <w:kern w:val="44"/>
          <w:szCs w:val="44"/>
          <w:highlight w:val="none"/>
        </w:rPr>
        <w:t>投资匡算</w:t>
      </w:r>
      <w:bookmarkEnd w:id="96"/>
    </w:p>
    <w:p>
      <w:pPr>
        <w:pStyle w:val="7"/>
        <w:ind w:firstLine="560"/>
        <w:rPr>
          <w:rFonts w:hint="eastAsia" w:ascii="Times New Roman" w:hAnsi="Times New Roman" w:eastAsiaTheme="minorEastAsia"/>
          <w:color w:val="0000FF"/>
          <w:sz w:val="28"/>
          <w:szCs w:val="28"/>
          <w:highlight w:val="none"/>
          <w:lang w:eastAsia="zh-CN"/>
        </w:rPr>
      </w:pPr>
      <w:bookmarkStart w:id="98" w:name="_Toc59549706"/>
      <w:r>
        <w:rPr>
          <w:rFonts w:hint="eastAsia" w:ascii="Times New Roman" w:hAnsi="Times New Roman"/>
          <w:color w:val="0000FF"/>
          <w:sz w:val="28"/>
          <w:szCs w:val="28"/>
          <w:highlight w:val="none"/>
          <w:lang w:bidi="th-TH"/>
        </w:rPr>
        <w:t>本</w:t>
      </w:r>
      <w:r>
        <w:rPr>
          <w:rFonts w:ascii="Times New Roman" w:hAnsi="Times New Roman"/>
          <w:color w:val="0000FF"/>
          <w:sz w:val="28"/>
          <w:szCs w:val="28"/>
          <w:highlight w:val="none"/>
          <w:lang w:bidi="th-TH"/>
        </w:rPr>
        <w:t>项目总投资</w:t>
      </w:r>
      <w:r>
        <w:rPr>
          <w:rFonts w:hint="eastAsia" w:ascii="Times New Roman" w:hAnsi="Times New Roman" w:cs="Times New Roman"/>
          <w:color w:val="0000FF"/>
          <w:sz w:val="28"/>
          <w:szCs w:val="28"/>
          <w:highlight w:val="none"/>
          <w:lang w:val="en-US" w:eastAsia="zh-CN"/>
        </w:rPr>
        <w:t>10412.30</w:t>
      </w:r>
      <w:r>
        <w:rPr>
          <w:rFonts w:hint="eastAsia" w:ascii="Times New Roman" w:hAnsi="Times New Roman" w:cs="Times New Roman"/>
          <w:color w:val="0000FF"/>
          <w:sz w:val="28"/>
          <w:szCs w:val="28"/>
          <w:highlight w:val="none"/>
        </w:rPr>
        <w:t>万元</w:t>
      </w:r>
      <w:r>
        <w:rPr>
          <w:rFonts w:ascii="Times New Roman" w:hAnsi="Times New Roman"/>
          <w:color w:val="0000FF"/>
          <w:sz w:val="28"/>
          <w:szCs w:val="28"/>
          <w:highlight w:val="none"/>
        </w:rPr>
        <w:t>，其中工程费</w:t>
      </w:r>
      <w:r>
        <w:rPr>
          <w:rFonts w:hint="eastAsia" w:ascii="Times New Roman" w:hAnsi="Times New Roman"/>
          <w:color w:val="0000FF"/>
          <w:sz w:val="28"/>
          <w:szCs w:val="28"/>
          <w:highlight w:val="none"/>
        </w:rPr>
        <w:t>7429.50</w:t>
      </w:r>
      <w:r>
        <w:rPr>
          <w:rFonts w:ascii="Times New Roman" w:hAnsi="Times New Roman"/>
          <w:color w:val="0000FF"/>
          <w:sz w:val="28"/>
          <w:szCs w:val="28"/>
          <w:highlight w:val="none"/>
        </w:rPr>
        <w:t>万元，其他费用</w:t>
      </w:r>
      <w:r>
        <w:rPr>
          <w:rFonts w:hint="eastAsia" w:ascii="Times New Roman" w:hAnsi="Times New Roman"/>
          <w:color w:val="0000FF"/>
          <w:sz w:val="28"/>
          <w:szCs w:val="28"/>
          <w:highlight w:val="none"/>
          <w:lang w:val="en-US" w:eastAsia="zh-CN"/>
        </w:rPr>
        <w:t>2</w:t>
      </w:r>
      <w:r>
        <w:rPr>
          <w:rFonts w:hint="eastAsia" w:ascii="Times New Roman" w:hAnsi="Times New Roman"/>
          <w:color w:val="0000FF"/>
          <w:sz w:val="28"/>
          <w:szCs w:val="28"/>
          <w:highlight w:val="none"/>
        </w:rPr>
        <w:t>036.23</w:t>
      </w:r>
      <w:r>
        <w:rPr>
          <w:rFonts w:ascii="Times New Roman" w:hAnsi="Times New Roman"/>
          <w:color w:val="0000FF"/>
          <w:sz w:val="28"/>
          <w:szCs w:val="28"/>
          <w:highlight w:val="none"/>
        </w:rPr>
        <w:t>万元，</w:t>
      </w:r>
      <w:r>
        <w:rPr>
          <w:rFonts w:hint="eastAsia" w:ascii="Times New Roman" w:hAnsi="Times New Roman"/>
          <w:color w:val="0000FF"/>
          <w:sz w:val="28"/>
          <w:szCs w:val="28"/>
          <w:highlight w:val="none"/>
        </w:rPr>
        <w:t>基本</w:t>
      </w:r>
      <w:r>
        <w:rPr>
          <w:rFonts w:ascii="Times New Roman" w:hAnsi="Times New Roman"/>
          <w:color w:val="0000FF"/>
          <w:sz w:val="28"/>
          <w:szCs w:val="28"/>
          <w:highlight w:val="none"/>
        </w:rPr>
        <w:t>预备费</w:t>
      </w:r>
      <w:r>
        <w:rPr>
          <w:rFonts w:hint="eastAsia" w:ascii="Times New Roman" w:hAnsi="Times New Roman"/>
          <w:color w:val="0000FF"/>
          <w:sz w:val="28"/>
          <w:szCs w:val="28"/>
          <w:highlight w:val="none"/>
          <w:lang w:val="en-US" w:eastAsia="zh-CN"/>
        </w:rPr>
        <w:t>9</w:t>
      </w:r>
      <w:r>
        <w:rPr>
          <w:rFonts w:hint="eastAsia" w:ascii="Times New Roman" w:hAnsi="Times New Roman"/>
          <w:color w:val="0000FF"/>
          <w:sz w:val="28"/>
          <w:szCs w:val="28"/>
          <w:highlight w:val="none"/>
        </w:rPr>
        <w:t>46.57</w:t>
      </w:r>
      <w:r>
        <w:rPr>
          <w:rFonts w:ascii="Times New Roman" w:hAnsi="Times New Roman"/>
          <w:color w:val="0000FF"/>
          <w:sz w:val="28"/>
          <w:szCs w:val="28"/>
          <w:highlight w:val="none"/>
        </w:rPr>
        <w:t>万元</w:t>
      </w:r>
      <w:r>
        <w:rPr>
          <w:rFonts w:hint="eastAsia" w:ascii="Times New Roman" w:hAnsi="Times New Roman"/>
          <w:color w:val="0000FF"/>
          <w:sz w:val="28"/>
          <w:szCs w:val="28"/>
          <w:highlight w:val="none"/>
          <w:lang w:eastAsia="zh-CN"/>
        </w:rPr>
        <w:t>，</w:t>
      </w:r>
      <w:r>
        <w:rPr>
          <w:rFonts w:hint="eastAsia" w:ascii="Times New Roman" w:hAnsi="Times New Roman"/>
          <w:color w:val="0000FF"/>
          <w:sz w:val="28"/>
          <w:szCs w:val="28"/>
          <w:highlight w:val="none"/>
        </w:rPr>
        <w:t>具体经济技术指标见说明书</w:t>
      </w:r>
      <w:r>
        <w:rPr>
          <w:rFonts w:hint="eastAsia" w:ascii="Times New Roman" w:hAnsi="Times New Roman"/>
          <w:color w:val="0000FF"/>
          <w:sz w:val="28"/>
          <w:szCs w:val="28"/>
          <w:highlight w:val="none"/>
          <w:lang w:val="en-US" w:eastAsia="zh-CN"/>
        </w:rPr>
        <w:t>附件总</w:t>
      </w:r>
      <w:r>
        <w:rPr>
          <w:rFonts w:hint="eastAsia" w:ascii="Times New Roman" w:hAnsi="Times New Roman"/>
          <w:color w:val="0000FF"/>
          <w:sz w:val="28"/>
          <w:szCs w:val="28"/>
          <w:highlight w:val="none"/>
        </w:rPr>
        <w:t>投资匡算表</w:t>
      </w:r>
      <w:r>
        <w:rPr>
          <w:rFonts w:hint="eastAsia" w:ascii="Times New Roman" w:hAnsi="Times New Roman"/>
          <w:color w:val="0000FF"/>
          <w:sz w:val="28"/>
          <w:szCs w:val="28"/>
          <w:highlight w:val="none"/>
          <w:lang w:eastAsia="zh-CN"/>
        </w:rPr>
        <w:t>。</w:t>
      </w:r>
    </w:p>
    <w:bookmarkEnd w:id="98"/>
    <w:p>
      <w:pPr>
        <w:pStyle w:val="3"/>
        <w:rPr>
          <w:rFonts w:ascii="Times New Roman" w:hAnsi="Times New Roman"/>
          <w:color w:val="auto"/>
          <w:kern w:val="44"/>
          <w:szCs w:val="44"/>
          <w:highlight w:val="none"/>
        </w:rPr>
      </w:pPr>
      <w:bookmarkStart w:id="99" w:name="_Toc10748"/>
      <w:r>
        <w:rPr>
          <w:rFonts w:ascii="Times New Roman" w:hAnsi="Times New Roman"/>
          <w:color w:val="auto"/>
          <w:kern w:val="44"/>
          <w:szCs w:val="44"/>
          <w:highlight w:val="none"/>
        </w:rPr>
        <w:t>第</w:t>
      </w:r>
      <w:r>
        <w:rPr>
          <w:rFonts w:hint="eastAsia" w:ascii="Times New Roman" w:hAnsi="Times New Roman"/>
          <w:color w:val="auto"/>
          <w:kern w:val="44"/>
          <w:szCs w:val="44"/>
          <w:highlight w:val="none"/>
          <w:lang w:val="en-US" w:eastAsia="zh-CN"/>
        </w:rPr>
        <w:t>三十七</w:t>
      </w:r>
      <w:r>
        <w:rPr>
          <w:rFonts w:ascii="Times New Roman" w:hAnsi="Times New Roman"/>
          <w:color w:val="auto"/>
          <w:kern w:val="44"/>
          <w:szCs w:val="44"/>
          <w:highlight w:val="none"/>
        </w:rPr>
        <w:t>条：规划实施保障措施</w:t>
      </w:r>
      <w:bookmarkEnd w:id="97"/>
      <w:bookmarkEnd w:id="99"/>
    </w:p>
    <w:p>
      <w:pPr>
        <w:ind w:firstLine="562" w:firstLineChars="200"/>
        <w:rPr>
          <w:rFonts w:hint="default" w:ascii="Times New Roman" w:hAnsi="Times New Roman" w:cs="Times New Roman" w:eastAsiaTheme="minorEastAsia"/>
          <w:b/>
          <w:color w:val="auto"/>
          <w:sz w:val="28"/>
          <w:szCs w:val="28"/>
          <w:highlight w:val="none"/>
          <w:lang w:val="en-US" w:eastAsia="zh-CN" w:bidi="th-TH"/>
        </w:rPr>
      </w:pPr>
      <w:r>
        <w:rPr>
          <w:rFonts w:ascii="Times New Roman" w:hAnsi="Times New Roman" w:cs="Times New Roman"/>
          <w:b/>
          <w:color w:val="auto"/>
          <w:sz w:val="28"/>
          <w:szCs w:val="28"/>
          <w:highlight w:val="none"/>
          <w:lang w:bidi="th-TH"/>
        </w:rPr>
        <w:t>1、</w:t>
      </w:r>
      <w:r>
        <w:rPr>
          <w:rFonts w:hint="eastAsia" w:ascii="Times New Roman" w:hAnsi="Times New Roman" w:cs="Times New Roman"/>
          <w:b/>
          <w:color w:val="auto"/>
          <w:sz w:val="28"/>
          <w:szCs w:val="28"/>
          <w:highlight w:val="none"/>
          <w:lang w:val="en-US" w:eastAsia="zh-CN" w:bidi="th-TH"/>
        </w:rPr>
        <w:t>组织协调</w:t>
      </w:r>
    </w:p>
    <w:p>
      <w:pPr>
        <w:ind w:firstLine="560" w:firstLineChars="200"/>
        <w:rPr>
          <w:rFonts w:ascii="Times New Roman" w:hAnsi="Times New Roman" w:cs="Times New Roman"/>
          <w:b/>
          <w:bCs/>
          <w:color w:val="0000FF"/>
          <w:sz w:val="28"/>
          <w:szCs w:val="28"/>
          <w:highlight w:val="none"/>
          <w:lang w:bidi="th-TH"/>
        </w:rPr>
      </w:pPr>
      <w:bookmarkStart w:id="100" w:name="OLE_LINK2"/>
      <w:r>
        <w:rPr>
          <w:rFonts w:hint="eastAsia" w:ascii="Times New Roman" w:hAnsi="Times New Roman" w:cs="Times New Roman"/>
          <w:color w:val="0000FF"/>
          <w:sz w:val="28"/>
          <w:szCs w:val="28"/>
          <w:highlight w:val="none"/>
          <w:lang w:val="en-US" w:eastAsia="zh-CN" w:bidi="th-TH"/>
        </w:rPr>
        <w:t>各级人民政府</w:t>
      </w:r>
      <w:r>
        <w:rPr>
          <w:rFonts w:hint="eastAsia" w:ascii="Times New Roman" w:hAnsi="Times New Roman" w:cs="Times New Roman"/>
          <w:color w:val="0000FF"/>
          <w:sz w:val="28"/>
          <w:szCs w:val="28"/>
          <w:highlight w:val="none"/>
          <w:lang w:bidi="th-TH"/>
        </w:rPr>
        <w:t>是规划实施管理工作的责任主体，要依据本规划，确定本地区的工作目标、重点任务。将规划执行情况作为</w:t>
      </w:r>
      <w:r>
        <w:rPr>
          <w:rFonts w:hint="eastAsia" w:ascii="Times New Roman" w:hAnsi="Times New Roman" w:cs="Times New Roman"/>
          <w:color w:val="0000FF"/>
          <w:sz w:val="28"/>
          <w:szCs w:val="28"/>
          <w:highlight w:val="none"/>
          <w:lang w:val="en-US" w:eastAsia="zh-CN" w:bidi="th-TH"/>
        </w:rPr>
        <w:t>各级</w:t>
      </w:r>
      <w:r>
        <w:rPr>
          <w:rFonts w:hint="eastAsia" w:ascii="Times New Roman" w:hAnsi="Times New Roman" w:cs="Times New Roman"/>
          <w:color w:val="0000FF"/>
          <w:sz w:val="28"/>
          <w:szCs w:val="28"/>
          <w:highlight w:val="none"/>
          <w:lang w:bidi="th-TH"/>
        </w:rPr>
        <w:t>人民政府目标责任考核和领导干部综合评价的重要内容，各级政府职能部门之间要明确分工，建立部门协调机制，明确相关部门职责，统筹完成规划实施工作。地区之间要加强组织协调，打破行政区划和部门界限，逐步实现区域资源共享、整合和优化配置。燃气管理部门要及时传达上级工作精神，落实上级工作任务，严格市场准入管理，开展长效风险分级管控与隐患排查治理工作，督导城燃企业制定符合实际的工作计划，定期调度工作进度，主动协调帮助城燃企业解决发展难题。</w:t>
      </w:r>
    </w:p>
    <w:bookmarkEnd w:id="100"/>
    <w:p>
      <w:pPr>
        <w:ind w:firstLine="562" w:firstLineChars="200"/>
        <w:rPr>
          <w:rFonts w:hint="eastAsia" w:ascii="Times New Roman" w:hAnsi="Times New Roman" w:cs="Times New Roman" w:eastAsiaTheme="minorEastAsia"/>
          <w:b/>
          <w:color w:val="auto"/>
          <w:sz w:val="28"/>
          <w:szCs w:val="28"/>
          <w:highlight w:val="none"/>
          <w:lang w:val="en-US" w:eastAsia="zh-CN" w:bidi="th-TH"/>
        </w:rPr>
      </w:pPr>
      <w:r>
        <w:rPr>
          <w:rFonts w:ascii="Times New Roman" w:hAnsi="Times New Roman" w:cs="Times New Roman"/>
          <w:b/>
          <w:color w:val="auto"/>
          <w:sz w:val="28"/>
          <w:szCs w:val="28"/>
          <w:highlight w:val="none"/>
          <w:lang w:bidi="th-TH"/>
        </w:rPr>
        <w:t>2、</w:t>
      </w:r>
      <w:r>
        <w:rPr>
          <w:rFonts w:hint="eastAsia" w:ascii="Times New Roman" w:hAnsi="Times New Roman" w:cs="Times New Roman"/>
          <w:b/>
          <w:color w:val="auto"/>
          <w:sz w:val="28"/>
          <w:szCs w:val="28"/>
          <w:highlight w:val="none"/>
          <w:lang w:val="en-US" w:eastAsia="zh-CN" w:bidi="th-TH"/>
        </w:rPr>
        <w:t>法规研究</w:t>
      </w:r>
    </w:p>
    <w:p>
      <w:pPr>
        <w:ind w:firstLine="560" w:firstLineChars="200"/>
        <w:rPr>
          <w:rFonts w:hint="eastAsia"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bidi="th-TH"/>
        </w:rPr>
        <w:t>一是加快完善燃气管理的法规制度体系，进一步明确部门职责、经营管理制度、使用和安全主体责任、服务系统建设要求，适应城镇燃气发展中出现的新情况、新问题。</w:t>
      </w:r>
    </w:p>
    <w:p>
      <w:pPr>
        <w:ind w:firstLine="560" w:firstLineChars="200"/>
        <w:rPr>
          <w:rFonts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bidi="th-TH"/>
        </w:rPr>
        <w:t>二是推动出台城镇燃气特许经营管理和考核评估办法。规范特许经营企业招投标组织程序，按照责、权、利统一的原则，对协议签订内容、考核评估方法、变更和提前终止特许经营权的条件作出细化明确。</w:t>
      </w:r>
    </w:p>
    <w:p>
      <w:pPr>
        <w:ind w:firstLine="562" w:firstLineChars="200"/>
        <w:rPr>
          <w:rFonts w:ascii="Times New Roman" w:hAnsi="Times New Roman" w:cs="Times New Roman"/>
          <w:b/>
          <w:color w:val="0000FF"/>
          <w:sz w:val="28"/>
          <w:szCs w:val="28"/>
          <w:highlight w:val="none"/>
          <w:lang w:bidi="th-TH"/>
        </w:rPr>
      </w:pPr>
      <w:r>
        <w:rPr>
          <w:rFonts w:ascii="Times New Roman" w:hAnsi="Times New Roman" w:cs="Times New Roman"/>
          <w:b/>
          <w:color w:val="0000FF"/>
          <w:sz w:val="28"/>
          <w:szCs w:val="28"/>
          <w:highlight w:val="none"/>
          <w:lang w:bidi="th-TH"/>
        </w:rPr>
        <w:t>3、</w:t>
      </w:r>
      <w:r>
        <w:rPr>
          <w:rFonts w:hint="eastAsia" w:ascii="Times New Roman" w:hAnsi="Times New Roman" w:cs="Times New Roman"/>
          <w:b/>
          <w:color w:val="0000FF"/>
          <w:sz w:val="28"/>
          <w:szCs w:val="28"/>
          <w:highlight w:val="none"/>
          <w:lang w:val="en-US" w:eastAsia="zh-CN" w:bidi="th-TH"/>
        </w:rPr>
        <w:t>政策与资金支持</w:t>
      </w:r>
    </w:p>
    <w:p>
      <w:pPr>
        <w:ind w:firstLine="560" w:firstLineChars="200"/>
        <w:rPr>
          <w:rFonts w:hint="eastAsia" w:ascii="Times New Roman" w:hAnsi="Times New Roman" w:cs="Times New Roman"/>
          <w:color w:val="0000FF"/>
          <w:sz w:val="28"/>
          <w:szCs w:val="28"/>
          <w:highlight w:val="none"/>
          <w:lang w:bidi="th-TH"/>
        </w:rPr>
      </w:pPr>
      <w:r>
        <w:rPr>
          <w:rFonts w:hint="eastAsia" w:ascii="Times New Roman" w:hAnsi="Times New Roman" w:cs="Times New Roman"/>
          <w:color w:val="0000FF"/>
          <w:sz w:val="28"/>
          <w:szCs w:val="28"/>
          <w:highlight w:val="none"/>
          <w:lang w:bidi="th-TH"/>
        </w:rPr>
        <w:t>提高燃气发展用地供应保障能力，在国土空间总体规划中考虑线路走廊和设施用地空间布局，科学调控土地供应，保证燃气设施项目建设用地需求。</w:t>
      </w:r>
    </w:p>
    <w:p>
      <w:pPr>
        <w:ind w:firstLine="560" w:firstLineChars="200"/>
        <w:rPr>
          <w:rFonts w:hint="eastAsia" w:ascii="Times New Roman" w:hAnsi="Times New Roman" w:cs="Times New Roman" w:eastAsiaTheme="minorEastAsia"/>
          <w:color w:val="0000FF"/>
          <w:sz w:val="28"/>
          <w:szCs w:val="28"/>
          <w:highlight w:val="none"/>
          <w:lang w:eastAsia="zh-CN" w:bidi="th-TH"/>
        </w:rPr>
      </w:pPr>
      <w:r>
        <w:rPr>
          <w:rFonts w:hint="eastAsia" w:ascii="Times New Roman" w:hAnsi="Times New Roman" w:cs="Times New Roman"/>
          <w:color w:val="0000FF"/>
          <w:sz w:val="28"/>
          <w:szCs w:val="28"/>
          <w:highlight w:val="none"/>
          <w:lang w:eastAsia="zh-CN" w:bidi="th-TH"/>
        </w:rPr>
        <w:t>政府应加大对燃气设施建设的财政投入，设立专项发展资金，对燃气设施项目给予补贴或贷款贴息，降低企业运营成本，提高燃气设施的覆盖率和供应能力。同时，鼓励社会资本参与燃气设施建设，通过PPP等模式，实现政府与社会资本的合作共赢。</w:t>
      </w:r>
    </w:p>
    <w:p>
      <w:pPr>
        <w:ind w:firstLine="562" w:firstLineChars="200"/>
        <w:rPr>
          <w:rFonts w:hint="default" w:ascii="Times New Roman" w:hAnsi="Times New Roman" w:cs="Times New Roman"/>
          <w:b/>
          <w:color w:val="0000FF"/>
          <w:sz w:val="28"/>
          <w:szCs w:val="28"/>
          <w:highlight w:val="none"/>
          <w:lang w:val="en-US" w:bidi="th-TH"/>
        </w:rPr>
      </w:pPr>
      <w:r>
        <w:rPr>
          <w:rFonts w:ascii="Times New Roman" w:hAnsi="Times New Roman" w:cs="Times New Roman"/>
          <w:b/>
          <w:bCs/>
          <w:color w:val="0000FF"/>
          <w:sz w:val="28"/>
          <w:szCs w:val="28"/>
          <w:highlight w:val="none"/>
          <w:lang w:bidi="th-TH"/>
        </w:rPr>
        <w:t>4、</w:t>
      </w:r>
      <w:r>
        <w:rPr>
          <w:rFonts w:hint="eastAsia" w:ascii="Times New Roman" w:hAnsi="Times New Roman" w:cs="Times New Roman"/>
          <w:b/>
          <w:bCs/>
          <w:color w:val="0000FF"/>
          <w:sz w:val="28"/>
          <w:szCs w:val="28"/>
          <w:highlight w:val="none"/>
          <w:lang w:val="en-US" w:eastAsia="zh-CN" w:bidi="th-TH"/>
        </w:rPr>
        <w:t>规划引领与动态调整</w:t>
      </w:r>
    </w:p>
    <w:p>
      <w:pPr>
        <w:ind w:firstLine="560" w:firstLineChars="200"/>
        <w:rPr>
          <w:rFonts w:hint="eastAsia" w:ascii="Times New Roman" w:hAnsi="Times New Roman" w:cs="Times New Roman"/>
          <w:color w:val="0000FF"/>
          <w:sz w:val="28"/>
          <w:szCs w:val="28"/>
          <w:highlight w:val="none"/>
          <w:lang w:bidi="th-TH"/>
        </w:rPr>
      </w:pPr>
      <w:r>
        <w:rPr>
          <w:rFonts w:hint="eastAsia" w:ascii="Times New Roman" w:hAnsi="Times New Roman" w:cs="Times New Roman"/>
          <w:color w:val="0000FF"/>
          <w:sz w:val="28"/>
          <w:szCs w:val="28"/>
          <w:highlight w:val="none"/>
          <w:lang w:bidi="th-TH"/>
        </w:rPr>
        <w:t>以《规划》为统领，分解落实各项指标</w:t>
      </w:r>
      <w:r>
        <w:rPr>
          <w:rFonts w:hint="eastAsia" w:ascii="Times New Roman" w:hAnsi="Times New Roman" w:cs="Times New Roman"/>
          <w:color w:val="0000FF"/>
          <w:sz w:val="28"/>
          <w:szCs w:val="28"/>
          <w:highlight w:val="none"/>
          <w:lang w:eastAsia="zh-CN" w:bidi="th-TH"/>
        </w:rPr>
        <w:t>，</w:t>
      </w:r>
      <w:r>
        <w:rPr>
          <w:rFonts w:hint="eastAsia" w:ascii="Times New Roman" w:hAnsi="Times New Roman" w:cs="Times New Roman"/>
          <w:color w:val="0000FF"/>
          <w:sz w:val="28"/>
          <w:szCs w:val="28"/>
          <w:highlight w:val="none"/>
          <w:lang w:bidi="th-TH"/>
        </w:rPr>
        <w:t>明确主要任务措施和重大工程建设项目，确保各项发展指标如期完成。</w:t>
      </w:r>
    </w:p>
    <w:p>
      <w:pPr>
        <w:ind w:firstLine="560" w:firstLineChars="200"/>
        <w:rPr>
          <w:rFonts w:hint="eastAsia" w:ascii="Times New Roman" w:hAnsi="Times New Roman" w:cs="Times New Roman"/>
          <w:color w:val="0000FF"/>
          <w:sz w:val="28"/>
          <w:szCs w:val="28"/>
          <w:highlight w:val="none"/>
          <w:lang w:bidi="th-TH"/>
        </w:rPr>
      </w:pPr>
      <w:r>
        <w:rPr>
          <w:rFonts w:hint="eastAsia" w:ascii="Times New Roman" w:hAnsi="Times New Roman" w:cs="Times New Roman"/>
          <w:color w:val="0000FF"/>
          <w:sz w:val="28"/>
          <w:szCs w:val="28"/>
          <w:highlight w:val="none"/>
          <w:lang w:bidi="th-TH"/>
        </w:rPr>
        <w:t>根据国内发展形势、省内经济发展状况以及对天然气的实际需求，适时对《规划》进行</w:t>
      </w:r>
      <w:r>
        <w:rPr>
          <w:rFonts w:hint="eastAsia" w:ascii="Times New Roman" w:hAnsi="Times New Roman" w:cs="Times New Roman"/>
          <w:color w:val="0000FF"/>
          <w:sz w:val="28"/>
          <w:szCs w:val="28"/>
          <w:highlight w:val="none"/>
          <w:lang w:val="en-US" w:eastAsia="zh-CN" w:bidi="th-TH"/>
        </w:rPr>
        <w:t>动态</w:t>
      </w:r>
      <w:r>
        <w:rPr>
          <w:rFonts w:hint="eastAsia" w:ascii="Times New Roman" w:hAnsi="Times New Roman" w:cs="Times New Roman"/>
          <w:color w:val="0000FF"/>
          <w:sz w:val="28"/>
          <w:szCs w:val="28"/>
          <w:highlight w:val="none"/>
          <w:lang w:bidi="th-TH"/>
        </w:rPr>
        <w:t>调整，</w:t>
      </w:r>
      <w:r>
        <w:rPr>
          <w:rFonts w:hint="eastAsia" w:ascii="Times New Roman" w:hAnsi="Times New Roman" w:cs="Times New Roman"/>
          <w:color w:val="0000FF"/>
          <w:sz w:val="28"/>
          <w:szCs w:val="28"/>
          <w:highlight w:val="none"/>
          <w:lang w:eastAsia="zh-CN" w:bidi="th-TH"/>
        </w:rPr>
        <w:t>以保证规划的前瞻性和科学性。加强规划宣传，提高社会各界对燃气设施规划的认识和重视程度，形成全社会共同支持和参与燃气设施规划实施的良好氛围，</w:t>
      </w:r>
      <w:r>
        <w:rPr>
          <w:rFonts w:hint="eastAsia" w:ascii="Times New Roman" w:hAnsi="Times New Roman" w:cs="Times New Roman"/>
          <w:color w:val="0000FF"/>
          <w:sz w:val="28"/>
          <w:szCs w:val="28"/>
          <w:highlight w:val="none"/>
          <w:lang w:bidi="th-TH"/>
        </w:rPr>
        <w:t>实现城镇燃气的高质量发展。</w:t>
      </w:r>
    </w:p>
    <w:p>
      <w:pPr>
        <w:ind w:firstLine="562" w:firstLineChars="200"/>
        <w:rPr>
          <w:rFonts w:hint="eastAsia" w:ascii="Times New Roman" w:hAnsi="Times New Roman" w:cs="Times New Roman"/>
          <w:b/>
          <w:bCs/>
          <w:color w:val="auto"/>
          <w:sz w:val="28"/>
          <w:szCs w:val="28"/>
          <w:highlight w:val="none"/>
          <w:lang w:val="en-US" w:eastAsia="zh-CN" w:bidi="th-TH"/>
        </w:rPr>
      </w:pPr>
      <w:r>
        <w:rPr>
          <w:rFonts w:hint="eastAsia" w:ascii="Times New Roman" w:hAnsi="Times New Roman" w:cs="Times New Roman"/>
          <w:b/>
          <w:bCs/>
          <w:color w:val="auto"/>
          <w:sz w:val="28"/>
          <w:szCs w:val="28"/>
          <w:highlight w:val="none"/>
          <w:lang w:val="en-US" w:eastAsia="zh-CN" w:bidi="th-TH"/>
        </w:rPr>
        <w:t>5、监督考核</w:t>
      </w:r>
    </w:p>
    <w:p>
      <w:pPr>
        <w:ind w:firstLine="560" w:firstLineChars="200"/>
        <w:rPr>
          <w:rFonts w:hint="eastAsia" w:ascii="Times New Roman" w:hAnsi="Times New Roman" w:cs="Times New Roman"/>
          <w:color w:val="auto"/>
          <w:sz w:val="28"/>
          <w:szCs w:val="28"/>
          <w:highlight w:val="none"/>
          <w:lang w:val="en-US" w:eastAsia="zh-CN" w:bidi="th-TH"/>
        </w:rPr>
      </w:pPr>
      <w:r>
        <w:rPr>
          <w:rFonts w:hint="eastAsia" w:ascii="Times New Roman" w:hAnsi="Times New Roman" w:cs="Times New Roman"/>
          <w:color w:val="auto"/>
          <w:sz w:val="28"/>
          <w:szCs w:val="28"/>
          <w:highlight w:val="none"/>
          <w:lang w:bidi="th-TH"/>
        </w:rPr>
        <w:t>由</w:t>
      </w:r>
      <w:r>
        <w:rPr>
          <w:rFonts w:hint="eastAsia" w:ascii="Times New Roman" w:hAnsi="Times New Roman" w:cs="Times New Roman"/>
          <w:color w:val="auto"/>
          <w:sz w:val="28"/>
          <w:szCs w:val="28"/>
          <w:highlight w:val="none"/>
          <w:lang w:val="en-US" w:eastAsia="zh-CN" w:bidi="th-TH"/>
        </w:rPr>
        <w:t>市</w:t>
      </w:r>
      <w:r>
        <w:rPr>
          <w:rFonts w:hint="eastAsia" w:ascii="Times New Roman" w:hAnsi="Times New Roman" w:cs="Times New Roman"/>
          <w:color w:val="auto"/>
          <w:sz w:val="28"/>
          <w:szCs w:val="28"/>
          <w:highlight w:val="none"/>
          <w:lang w:bidi="th-TH"/>
        </w:rPr>
        <w:t>城镇燃气主管部门会同其他相关部门开展《规划》实施情况定期评估，并纳入地市人民政府考核体系；建立评估结果监督检查机制，加强特许经营、经营许可、储气能力等考核评估后的监督检查，以事后监督检查规范各地政府和企业行为，对《规划》实施不力的主管部门和企业负责人进行约谈，限期整改。加强天然气管输、配气价格监管，清理不合理收费；健全完善成本监审制度，推行管输、配气成本信息公开，强化社会监督。</w:t>
      </w:r>
    </w:p>
    <w:p>
      <w:pPr>
        <w:ind w:firstLine="562" w:firstLineChars="200"/>
        <w:rPr>
          <w:rFonts w:hint="default" w:ascii="Times New Roman" w:hAnsi="Times New Roman" w:cs="Times New Roman"/>
          <w:b/>
          <w:bCs/>
          <w:color w:val="auto"/>
          <w:sz w:val="28"/>
          <w:szCs w:val="28"/>
          <w:highlight w:val="none"/>
          <w:lang w:val="en-US" w:eastAsia="zh-CN" w:bidi="th-TH"/>
        </w:rPr>
      </w:pPr>
      <w:r>
        <w:rPr>
          <w:rFonts w:hint="eastAsia" w:ascii="Times New Roman" w:hAnsi="Times New Roman" w:cs="Times New Roman"/>
          <w:b/>
          <w:bCs/>
          <w:color w:val="auto"/>
          <w:sz w:val="28"/>
          <w:szCs w:val="28"/>
          <w:highlight w:val="none"/>
          <w:lang w:val="en-US" w:eastAsia="zh-CN" w:bidi="th-TH"/>
        </w:rPr>
        <w:t>6、宣传教育</w:t>
      </w:r>
    </w:p>
    <w:p>
      <w:pPr>
        <w:ind w:firstLine="560" w:firstLineChars="200"/>
        <w:rPr>
          <w:rFonts w:hint="eastAsia"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bidi="th-TH"/>
        </w:rPr>
        <w:t>一是燃气主管部门联合城燃企业制定燃气安全宣传工作计划。</w:t>
      </w:r>
    </w:p>
    <w:p>
      <w:pPr>
        <w:ind w:firstLine="560" w:firstLineChars="200"/>
        <w:rPr>
          <w:rFonts w:hint="eastAsia"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bidi="th-TH"/>
        </w:rPr>
        <w:t>二是城燃企业要加强对职工的安全教育和培训，确保员工100%持证上岗。提高岗位技能，落实岗位责任。</w:t>
      </w:r>
    </w:p>
    <w:p>
      <w:pPr>
        <w:ind w:firstLine="560" w:firstLineChars="200"/>
        <w:rPr>
          <w:rFonts w:hint="eastAsia" w:ascii="Times New Roman" w:hAnsi="Times New Roman" w:cs="Times New Roman"/>
          <w:color w:val="auto"/>
          <w:sz w:val="28"/>
          <w:szCs w:val="28"/>
          <w:highlight w:val="none"/>
          <w:lang w:bidi="th-TH"/>
        </w:rPr>
      </w:pPr>
      <w:r>
        <w:rPr>
          <w:rFonts w:hint="eastAsia" w:ascii="Times New Roman" w:hAnsi="Times New Roman" w:cs="Times New Roman"/>
          <w:color w:val="auto"/>
          <w:sz w:val="28"/>
          <w:szCs w:val="28"/>
          <w:highlight w:val="none"/>
          <w:lang w:bidi="th-TH"/>
        </w:rPr>
        <w:t>三是丰富安全用气宣教形式。完善政府部门、新闻媒体、移动新媒体等合作开展宣教的模式，宣传城镇燃气安全的有关法律法规、有效的管理措施。逐步构建地区公共安全电视节目播放平台和专题栏目，结合曝光燃气安全典型问题，加强警示教育。</w:t>
      </w:r>
    </w:p>
    <w:p>
      <w:pPr>
        <w:ind w:firstLine="560" w:firstLineChars="200"/>
        <w:rPr>
          <w:rFonts w:hint="eastAsia" w:ascii="Times New Roman" w:hAnsi="Times New Roman" w:cs="Times New Roman"/>
          <w:color w:val="auto"/>
          <w:sz w:val="28"/>
          <w:szCs w:val="28"/>
          <w:highlight w:val="none"/>
          <w:lang w:bidi="th-TH"/>
        </w:rPr>
      </w:pPr>
      <w:bookmarkStart w:id="101" w:name="_Toc112338258"/>
      <w:r>
        <w:rPr>
          <w:rFonts w:hint="eastAsia" w:ascii="Times New Roman" w:hAnsi="Times New Roman" w:cs="Times New Roman"/>
          <w:color w:val="auto"/>
          <w:sz w:val="28"/>
          <w:szCs w:val="28"/>
          <w:highlight w:val="none"/>
          <w:lang w:bidi="th-TH"/>
        </w:rPr>
        <w:t>四是深入开展燃气应急管理培训。健全应急管理能力培训机制，构建规范的燃气应急管理培训体系，加强</w:t>
      </w:r>
      <w:r>
        <w:rPr>
          <w:rFonts w:hint="eastAsia" w:ascii="Times New Roman" w:hAnsi="Times New Roman" w:cs="Times New Roman"/>
          <w:color w:val="auto"/>
          <w:sz w:val="28"/>
          <w:szCs w:val="28"/>
          <w:highlight w:val="none"/>
          <w:lang w:val="en-US" w:eastAsia="zh-CN" w:bidi="th-TH"/>
        </w:rPr>
        <w:t>各类人员</w:t>
      </w:r>
      <w:r>
        <w:rPr>
          <w:rFonts w:hint="eastAsia" w:ascii="Times New Roman" w:hAnsi="Times New Roman" w:cs="Times New Roman"/>
          <w:color w:val="auto"/>
          <w:sz w:val="28"/>
          <w:szCs w:val="28"/>
          <w:highlight w:val="none"/>
          <w:lang w:bidi="th-TH"/>
        </w:rPr>
        <w:t>应急管理知识和技能的培训。举办应急管理专题培训，对各级人民政府燃气主管部门进行轮训，提高各级管理队伍的业务水平和工作能力。</w:t>
      </w:r>
    </w:p>
    <w:p>
      <w:pPr>
        <w:rPr>
          <w:rFonts w:hint="eastAsia" w:ascii="Times New Roman" w:hAnsi="Times New Roman" w:cs="Times New Roman"/>
          <w:color w:val="auto"/>
          <w:sz w:val="28"/>
          <w:szCs w:val="28"/>
          <w:highlight w:val="none"/>
          <w:lang w:bidi="th-TH"/>
        </w:rPr>
      </w:pPr>
    </w:p>
    <w:p>
      <w:pPr>
        <w:pStyle w:val="2"/>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color w:val="auto"/>
          <w:sz w:val="36"/>
          <w:szCs w:val="24"/>
          <w:highlight w:val="none"/>
          <w:lang w:eastAsia="zh-CN"/>
        </w:rPr>
      </w:pPr>
      <w:bookmarkStart w:id="102" w:name="_Toc9630"/>
      <w:r>
        <w:rPr>
          <w:rFonts w:hint="eastAsia"/>
          <w:color w:val="auto"/>
          <w:highlight w:val="none"/>
          <w:lang w:eastAsia="zh-CN"/>
        </w:rPr>
        <w:t>第十</w:t>
      </w:r>
      <w:r>
        <w:rPr>
          <w:rFonts w:hint="eastAsia"/>
          <w:color w:val="auto"/>
          <w:highlight w:val="none"/>
          <w:lang w:val="en-US" w:eastAsia="zh-CN"/>
        </w:rPr>
        <w:t>一</w:t>
      </w:r>
      <w:r>
        <w:rPr>
          <w:rFonts w:hint="eastAsia"/>
          <w:color w:val="auto"/>
          <w:highlight w:val="none"/>
          <w:lang w:eastAsia="zh-CN"/>
        </w:rPr>
        <w:t>章</w:t>
      </w:r>
      <w:r>
        <w:rPr>
          <w:rFonts w:hint="default"/>
          <w:color w:val="auto"/>
          <w:highlight w:val="none"/>
          <w:lang w:eastAsia="zh-CN"/>
        </w:rPr>
        <w:t xml:space="preserve"> </w:t>
      </w:r>
      <w:r>
        <w:rPr>
          <w:rFonts w:hint="eastAsia"/>
          <w:color w:val="auto"/>
          <w:highlight w:val="none"/>
          <w:lang w:val="en-US" w:eastAsia="zh-CN"/>
        </w:rPr>
        <w:t xml:space="preserve"> </w:t>
      </w:r>
      <w:r>
        <w:rPr>
          <w:rFonts w:hint="eastAsia"/>
          <w:color w:val="auto"/>
          <w:highlight w:val="none"/>
          <w:lang w:eastAsia="zh-CN"/>
        </w:rPr>
        <w:t>附则</w:t>
      </w:r>
      <w:bookmarkEnd w:id="101"/>
      <w:bookmarkEnd w:id="102"/>
    </w:p>
    <w:p>
      <w:pPr>
        <w:pStyle w:val="3"/>
        <w:pageBreakBefore w:val="0"/>
        <w:widowControl w:val="0"/>
        <w:kinsoku/>
        <w:wordWrap/>
        <w:overflowPunct/>
        <w:topLinePunct w:val="0"/>
        <w:autoSpaceDE/>
        <w:autoSpaceDN/>
        <w:bidi w:val="0"/>
        <w:adjustRightInd/>
        <w:snapToGrid/>
        <w:textAlignment w:val="auto"/>
        <w:rPr>
          <w:rFonts w:hint="default"/>
          <w:color w:val="auto"/>
          <w:highlight w:val="none"/>
          <w:lang w:val="en-US"/>
        </w:rPr>
      </w:pPr>
      <w:bookmarkStart w:id="103" w:name="_Toc11554"/>
      <w:r>
        <w:rPr>
          <w:rFonts w:hint="eastAsia"/>
          <w:color w:val="auto"/>
          <w:highlight w:val="none"/>
          <w:lang w:val="en-US" w:eastAsia="zh-CN"/>
        </w:rPr>
        <w:t>第三十八条：文件组成</w:t>
      </w:r>
      <w:bookmarkEnd w:id="103"/>
    </w:p>
    <w:p>
      <w:pPr>
        <w:ind w:firstLine="560" w:firstLineChars="200"/>
        <w:rPr>
          <w:rFonts w:hint="default" w:ascii="Times New Roman" w:hAnsi="Times New Roman" w:cs="Times New Roman"/>
          <w:color w:val="auto"/>
          <w:sz w:val="28"/>
          <w:szCs w:val="28"/>
          <w:highlight w:val="none"/>
          <w:lang w:val="en-US" w:bidi="th-TH"/>
        </w:rPr>
      </w:pPr>
      <w:r>
        <w:rPr>
          <w:rFonts w:hint="eastAsia" w:ascii="Times New Roman" w:hAnsi="Times New Roman" w:cs="Times New Roman"/>
          <w:color w:val="auto"/>
          <w:sz w:val="28"/>
          <w:szCs w:val="28"/>
          <w:highlight w:val="none"/>
          <w:lang w:val="en-US" w:eastAsia="zh-CN" w:bidi="th-TH"/>
        </w:rPr>
        <w:t>本规划由规划文本、说明书及图纸组成，规划文本和规划说明书、图纸具有同等法律效力。</w:t>
      </w:r>
    </w:p>
    <w:p>
      <w:pPr>
        <w:pStyle w:val="3"/>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bookmarkStart w:id="104" w:name="_Toc10952"/>
      <w:r>
        <w:rPr>
          <w:rFonts w:hint="eastAsia"/>
          <w:color w:val="auto"/>
          <w:highlight w:val="none"/>
          <w:lang w:val="en-US" w:eastAsia="zh-CN"/>
        </w:rPr>
        <w:t>第三十九条：规划实施</w:t>
      </w:r>
      <w:bookmarkEnd w:id="104"/>
    </w:p>
    <w:p>
      <w:pPr>
        <w:ind w:firstLine="560" w:firstLineChars="200"/>
        <w:rPr>
          <w:rFonts w:hint="default" w:ascii="Times New Roman" w:hAnsi="Times New Roman" w:cs="Times New Roman"/>
          <w:color w:val="auto"/>
          <w:sz w:val="28"/>
          <w:szCs w:val="28"/>
          <w:highlight w:val="none"/>
          <w:lang w:val="en-US" w:eastAsia="zh-CN" w:bidi="th-TH"/>
        </w:rPr>
      </w:pPr>
      <w:r>
        <w:rPr>
          <w:rFonts w:hint="default" w:ascii="Times New Roman" w:hAnsi="Times New Roman" w:cs="Times New Roman"/>
          <w:color w:val="auto"/>
          <w:sz w:val="28"/>
          <w:szCs w:val="28"/>
          <w:highlight w:val="none"/>
          <w:lang w:val="en-US" w:eastAsia="zh-CN" w:bidi="th-TH"/>
        </w:rPr>
        <w:t>1、本规划经审批通过后，即</w:t>
      </w:r>
      <w:r>
        <w:rPr>
          <w:rFonts w:hint="eastAsia" w:ascii="Times New Roman" w:hAnsi="Times New Roman" w:cs="Times New Roman"/>
          <w:color w:val="auto"/>
          <w:sz w:val="28"/>
          <w:szCs w:val="28"/>
          <w:highlight w:val="none"/>
          <w:lang w:val="en-US" w:eastAsia="zh-CN" w:bidi="th-TH"/>
        </w:rPr>
        <w:t>成为抚顺高新技术产业开发区</w:t>
      </w:r>
      <w:r>
        <w:rPr>
          <w:rFonts w:hint="default" w:ascii="Times New Roman" w:hAnsi="Times New Roman" w:cs="Times New Roman"/>
          <w:color w:val="auto"/>
          <w:sz w:val="28"/>
          <w:szCs w:val="28"/>
          <w:highlight w:val="none"/>
          <w:lang w:val="en-US" w:eastAsia="zh-CN" w:bidi="th-TH"/>
        </w:rPr>
        <w:t>燃气建设和管理的法定文件，</w:t>
      </w:r>
      <w:r>
        <w:rPr>
          <w:rFonts w:hint="eastAsia" w:ascii="Times New Roman" w:hAnsi="Times New Roman" w:cs="Times New Roman"/>
          <w:color w:val="auto"/>
          <w:sz w:val="28"/>
          <w:szCs w:val="28"/>
          <w:highlight w:val="none"/>
          <w:lang w:val="en-US" w:eastAsia="zh-CN" w:bidi="th-TH"/>
        </w:rPr>
        <w:t>由抚顺高新技术产业开发区管委会</w:t>
      </w:r>
      <w:r>
        <w:rPr>
          <w:rFonts w:hint="default" w:ascii="Times New Roman" w:hAnsi="Times New Roman" w:cs="Times New Roman"/>
          <w:color w:val="auto"/>
          <w:sz w:val="28"/>
          <w:szCs w:val="28"/>
          <w:highlight w:val="none"/>
          <w:lang w:val="en-US" w:eastAsia="zh-CN" w:bidi="th-TH"/>
        </w:rPr>
        <w:t>有关部门负责实施和管理。任何单位和个人在进行燃气工程建设，都应符合本规划要求。</w:t>
      </w:r>
    </w:p>
    <w:p>
      <w:pPr>
        <w:ind w:firstLine="560" w:firstLineChars="200"/>
        <w:rPr>
          <w:rFonts w:hint="default" w:ascii="Times New Roman" w:hAnsi="Times New Roman" w:cs="Times New Roman"/>
          <w:color w:val="auto"/>
          <w:sz w:val="28"/>
          <w:szCs w:val="28"/>
          <w:highlight w:val="none"/>
          <w:lang w:val="en-US" w:eastAsia="zh-CN" w:bidi="th-TH"/>
        </w:rPr>
      </w:pPr>
      <w:r>
        <w:rPr>
          <w:rFonts w:hint="default" w:ascii="Times New Roman" w:hAnsi="Times New Roman" w:cs="Times New Roman"/>
          <w:color w:val="auto"/>
          <w:sz w:val="28"/>
          <w:szCs w:val="28"/>
          <w:highlight w:val="none"/>
          <w:lang w:val="en-US" w:eastAsia="zh-CN" w:bidi="th-TH"/>
        </w:rPr>
        <w:t>2、因城市发展和建设需要，如需对本规划的某些内容进行局部调整时，应审批并备案。</w:t>
      </w:r>
    </w:p>
    <w:p>
      <w:pPr>
        <w:ind w:firstLine="560" w:firstLineChars="200"/>
        <w:rPr>
          <w:color w:val="auto"/>
          <w:highlight w:val="none"/>
        </w:rPr>
      </w:pPr>
      <w:r>
        <w:rPr>
          <w:rFonts w:hint="default" w:ascii="Times New Roman" w:hAnsi="Times New Roman" w:cs="Times New Roman"/>
          <w:color w:val="auto"/>
          <w:sz w:val="28"/>
          <w:szCs w:val="28"/>
          <w:highlight w:val="none"/>
          <w:lang w:val="en-US" w:eastAsia="zh-CN" w:bidi="th-TH"/>
        </w:rPr>
        <w:t>3、本规划自</w:t>
      </w:r>
      <w:r>
        <w:rPr>
          <w:rFonts w:hint="eastAsia" w:ascii="Times New Roman" w:hAnsi="Times New Roman" w:cs="Times New Roman"/>
          <w:color w:val="auto"/>
          <w:sz w:val="28"/>
          <w:szCs w:val="28"/>
          <w:highlight w:val="none"/>
          <w:lang w:val="en-US" w:eastAsia="zh-CN" w:bidi="th-TH"/>
        </w:rPr>
        <w:t>抚顺市</w:t>
      </w:r>
      <w:r>
        <w:rPr>
          <w:rFonts w:hint="default" w:ascii="Times New Roman" w:hAnsi="Times New Roman" w:cs="Times New Roman"/>
          <w:color w:val="auto"/>
          <w:sz w:val="28"/>
          <w:szCs w:val="28"/>
          <w:highlight w:val="none"/>
          <w:lang w:val="en-US" w:eastAsia="zh-CN" w:bidi="th-TH"/>
        </w:rPr>
        <w:t>人民政府批准之日起施行，上版规划同时废止。</w:t>
      </w:r>
    </w:p>
    <w:sectPr>
      <w:footerReference r:id="rId8" w:type="default"/>
      <w:pgSz w:w="23811" w:h="16838" w:orient="landscape"/>
      <w:pgMar w:top="1440" w:right="1440" w:bottom="1440" w:left="1440" w:header="851" w:footer="992" w:gutter="0"/>
      <w:pgBorders w:offsetFrom="page">
        <w:top w:val="none" w:sz="0" w:space="0"/>
        <w:left w:val="none" w:sz="0" w:space="0"/>
        <w:bottom w:val="none" w:sz="0" w:space="0"/>
        <w:right w:val="none" w:sz="0" w:space="0"/>
      </w:pgBorders>
      <w:pgNumType w:start="1"/>
      <w:cols w:equalWidth="0" w:num="2">
        <w:col w:w="10253" w:space="425"/>
        <w:col w:w="1025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r>
      <w:rPr>
        <w:rFonts w:hint="eastAsia"/>
        <w:lang w:val="en-US" w:eastAsia="zh-CN"/>
      </w:rPr>
      <w:t>辽宁城建设计院</w:t>
    </w:r>
    <w:r>
      <w:rPr>
        <w:rFonts w:hint="eastAsia"/>
      </w:rPr>
      <w:t>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r>
      <w:rPr>
        <w:rFonts w:hint="eastAsia"/>
        <w:lang w:val="en-US" w:eastAsia="zh-CN"/>
      </w:rPr>
      <w:t>辽宁城建设计院</w:t>
    </w:r>
    <w:r>
      <w:rPr>
        <w:rFonts w:hint="eastAsia"/>
      </w:rPr>
      <w:t>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1172731"/>
    </w:sdtPr>
    <w:sdtContent>
      <w:p>
        <w:pPr>
          <w:pStyle w:val="17"/>
          <w:jc w:val="center"/>
        </w:pPr>
        <w:bookmarkStart w:id="105" w:name="_Hlk99013210"/>
        <w:bookmarkStart w:id="106" w:name="_Hlk99013209"/>
        <w:r>
          <w:fldChar w:fldCharType="begin"/>
        </w:r>
        <w:r>
          <w:instrText xml:space="preserve">PAGE   \* MERGEFORMAT</w:instrText>
        </w:r>
        <w:r>
          <w:fldChar w:fldCharType="separate"/>
        </w:r>
        <w:r>
          <w:rPr>
            <w:lang w:val="zh-CN"/>
          </w:rPr>
          <w:t>2</w:t>
        </w:r>
        <w:r>
          <w:fldChar w:fldCharType="end"/>
        </w:r>
      </w:p>
    </w:sdtContent>
  </w:sdt>
  <w:p>
    <w:pPr>
      <w:pStyle w:val="17"/>
    </w:pPr>
    <w:r>
      <w:rPr>
        <w:rFonts w:hint="eastAsia"/>
        <w:lang w:val="en-US" w:eastAsia="zh-CN"/>
      </w:rPr>
      <w:t>辽宁城建设计院</w:t>
    </w:r>
    <w:r>
      <w:rPr>
        <w:rFonts w:hint="eastAsia"/>
      </w:rPr>
      <w:t>有限公司</w:t>
    </w:r>
    <w:bookmarkEnd w:id="105"/>
    <w:bookmarkEnd w:id="10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rFonts w:hint="eastAsia"/>
        <w:lang w:val="en-US" w:eastAsia="zh-CN"/>
      </w:rPr>
      <w:t>抚顺高新技术产业开发区燃气专项规划</w:t>
    </w:r>
    <w:r>
      <w:rPr>
        <w:rFonts w:hint="eastAsia"/>
      </w:rPr>
      <w:t>（202</w:t>
    </w:r>
    <w:r>
      <w:rPr>
        <w:rFonts w:hint="eastAsia"/>
        <w:lang w:val="en-US" w:eastAsia="zh-CN"/>
      </w:rPr>
      <w:t>3</w:t>
    </w:r>
    <w:r>
      <w:rPr>
        <w:rFonts w:hint="eastAsia"/>
      </w:rPr>
      <w:t>-20</w:t>
    </w:r>
    <w:r>
      <w:rPr>
        <w:rFonts w:hint="eastAsia"/>
        <w:lang w:val="en-US" w:eastAsia="zh-CN"/>
      </w:rPr>
      <w:t>35</w:t>
    </w:r>
    <w:r>
      <w:rPr>
        <w:rFonts w:hint="eastAsia"/>
      </w:rPr>
      <w:t>年）·文本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rFonts w:hint="eastAsia"/>
        <w:lang w:val="en-US" w:eastAsia="zh-CN"/>
      </w:rPr>
      <w:t>抚顺高新技术产业开发区燃气专项规划</w:t>
    </w:r>
    <w:r>
      <w:rPr>
        <w:rFonts w:hint="eastAsia"/>
      </w:rPr>
      <w:t>（202</w:t>
    </w:r>
    <w:r>
      <w:rPr>
        <w:rFonts w:hint="eastAsia"/>
        <w:lang w:val="en-US" w:eastAsia="zh-CN"/>
      </w:rPr>
      <w:t>3</w:t>
    </w:r>
    <w:r>
      <w:rPr>
        <w:rFonts w:hint="eastAsia"/>
      </w:rPr>
      <w:t>-20</w:t>
    </w:r>
    <w:r>
      <w:rPr>
        <w:rFonts w:hint="eastAsia"/>
        <w:lang w:val="en-US" w:eastAsia="zh-CN"/>
      </w:rPr>
      <w:t>35</w:t>
    </w:r>
    <w:r>
      <w:rPr>
        <w:rFonts w:hint="eastAsia"/>
      </w:rPr>
      <w:t>年）·文本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041BF"/>
    <w:multiLevelType w:val="singleLevel"/>
    <w:tmpl w:val="61C041BF"/>
    <w:lvl w:ilvl="0" w:tentative="0">
      <w:start w:val="1"/>
      <w:numFmt w:val="decimal"/>
      <w:pStyle w:val="34"/>
      <w:lvlText w:val="(%1)"/>
      <w:lvlJc w:val="left"/>
      <w:pPr>
        <w:tabs>
          <w:tab w:val="left" w:pos="1062"/>
        </w:tabs>
        <w:ind w:left="1062" w:hanging="49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5NmVhMjc5OTc5ZTUxYTQ0OTFjY2RkNWJiNzAyZDQifQ=="/>
    <w:docVar w:name="KSO_WPS_MARK_KEY" w:val="a2e4fc96-032d-4950-918f-9b65f81ea785"/>
  </w:docVars>
  <w:rsids>
    <w:rsidRoot w:val="00D8571F"/>
    <w:rsid w:val="00001A5C"/>
    <w:rsid w:val="000120E6"/>
    <w:rsid w:val="000129C3"/>
    <w:rsid w:val="000149E0"/>
    <w:rsid w:val="000164D4"/>
    <w:rsid w:val="000213FA"/>
    <w:rsid w:val="00036029"/>
    <w:rsid w:val="00040941"/>
    <w:rsid w:val="0004169F"/>
    <w:rsid w:val="0004311A"/>
    <w:rsid w:val="00043D0B"/>
    <w:rsid w:val="0004522D"/>
    <w:rsid w:val="0005737B"/>
    <w:rsid w:val="00062911"/>
    <w:rsid w:val="00064CCC"/>
    <w:rsid w:val="00064F6C"/>
    <w:rsid w:val="000668A4"/>
    <w:rsid w:val="0007029A"/>
    <w:rsid w:val="000703AD"/>
    <w:rsid w:val="00074E32"/>
    <w:rsid w:val="00074FAD"/>
    <w:rsid w:val="00076CBE"/>
    <w:rsid w:val="000779C9"/>
    <w:rsid w:val="00080B1D"/>
    <w:rsid w:val="0008123D"/>
    <w:rsid w:val="00081348"/>
    <w:rsid w:val="000829CD"/>
    <w:rsid w:val="00083723"/>
    <w:rsid w:val="00083E09"/>
    <w:rsid w:val="00083E94"/>
    <w:rsid w:val="00094A00"/>
    <w:rsid w:val="00094B40"/>
    <w:rsid w:val="000A2F6E"/>
    <w:rsid w:val="000A3882"/>
    <w:rsid w:val="000A4128"/>
    <w:rsid w:val="000A4F4D"/>
    <w:rsid w:val="000A78D5"/>
    <w:rsid w:val="000B3358"/>
    <w:rsid w:val="000B3389"/>
    <w:rsid w:val="000B37E0"/>
    <w:rsid w:val="000B52A7"/>
    <w:rsid w:val="000B5659"/>
    <w:rsid w:val="000B67C4"/>
    <w:rsid w:val="000C1924"/>
    <w:rsid w:val="000D220A"/>
    <w:rsid w:val="000D3BC9"/>
    <w:rsid w:val="000D3CBA"/>
    <w:rsid w:val="000D6656"/>
    <w:rsid w:val="000D743B"/>
    <w:rsid w:val="000E0524"/>
    <w:rsid w:val="000E3FC8"/>
    <w:rsid w:val="000E6172"/>
    <w:rsid w:val="000E7D8E"/>
    <w:rsid w:val="000F12E2"/>
    <w:rsid w:val="00102750"/>
    <w:rsid w:val="00103A9C"/>
    <w:rsid w:val="00104289"/>
    <w:rsid w:val="001045EC"/>
    <w:rsid w:val="00105E32"/>
    <w:rsid w:val="00106E8C"/>
    <w:rsid w:val="00107C5A"/>
    <w:rsid w:val="00111FD1"/>
    <w:rsid w:val="001122DC"/>
    <w:rsid w:val="001133BF"/>
    <w:rsid w:val="00116A29"/>
    <w:rsid w:val="0011715D"/>
    <w:rsid w:val="0012421C"/>
    <w:rsid w:val="00126181"/>
    <w:rsid w:val="00130D51"/>
    <w:rsid w:val="001351CC"/>
    <w:rsid w:val="00135520"/>
    <w:rsid w:val="0014332A"/>
    <w:rsid w:val="00157504"/>
    <w:rsid w:val="00157D30"/>
    <w:rsid w:val="00157F82"/>
    <w:rsid w:val="0016496E"/>
    <w:rsid w:val="00167068"/>
    <w:rsid w:val="0017449A"/>
    <w:rsid w:val="00182653"/>
    <w:rsid w:val="0019477C"/>
    <w:rsid w:val="001954E6"/>
    <w:rsid w:val="00196DD2"/>
    <w:rsid w:val="001A01A9"/>
    <w:rsid w:val="001A258B"/>
    <w:rsid w:val="001A3404"/>
    <w:rsid w:val="001A584C"/>
    <w:rsid w:val="001A6275"/>
    <w:rsid w:val="001A6474"/>
    <w:rsid w:val="001A6CD1"/>
    <w:rsid w:val="001B2433"/>
    <w:rsid w:val="001B52E2"/>
    <w:rsid w:val="001C0B4F"/>
    <w:rsid w:val="001C11BC"/>
    <w:rsid w:val="001C2920"/>
    <w:rsid w:val="001C2FA8"/>
    <w:rsid w:val="001C456C"/>
    <w:rsid w:val="001C4B4F"/>
    <w:rsid w:val="001C50EF"/>
    <w:rsid w:val="001C5982"/>
    <w:rsid w:val="001C5FE8"/>
    <w:rsid w:val="001C629B"/>
    <w:rsid w:val="001D132B"/>
    <w:rsid w:val="001D1434"/>
    <w:rsid w:val="001D44C7"/>
    <w:rsid w:val="001D54CA"/>
    <w:rsid w:val="001D6AE1"/>
    <w:rsid w:val="001E55FB"/>
    <w:rsid w:val="001E599F"/>
    <w:rsid w:val="001F42E7"/>
    <w:rsid w:val="001F4B67"/>
    <w:rsid w:val="001F6B84"/>
    <w:rsid w:val="00202BC4"/>
    <w:rsid w:val="00202E6B"/>
    <w:rsid w:val="00205D88"/>
    <w:rsid w:val="002076E0"/>
    <w:rsid w:val="00210A3A"/>
    <w:rsid w:val="00214DBC"/>
    <w:rsid w:val="002202B6"/>
    <w:rsid w:val="00221185"/>
    <w:rsid w:val="002213A5"/>
    <w:rsid w:val="00223F3D"/>
    <w:rsid w:val="00230217"/>
    <w:rsid w:val="00231163"/>
    <w:rsid w:val="00240A9C"/>
    <w:rsid w:val="00241917"/>
    <w:rsid w:val="00251CA9"/>
    <w:rsid w:val="0025200E"/>
    <w:rsid w:val="0025626E"/>
    <w:rsid w:val="002716C1"/>
    <w:rsid w:val="00276C4C"/>
    <w:rsid w:val="00277013"/>
    <w:rsid w:val="00277017"/>
    <w:rsid w:val="00285D3D"/>
    <w:rsid w:val="00285E73"/>
    <w:rsid w:val="00291C55"/>
    <w:rsid w:val="00293989"/>
    <w:rsid w:val="00296B11"/>
    <w:rsid w:val="002970BB"/>
    <w:rsid w:val="002A3354"/>
    <w:rsid w:val="002A645C"/>
    <w:rsid w:val="002A77E4"/>
    <w:rsid w:val="002B56AA"/>
    <w:rsid w:val="002B7317"/>
    <w:rsid w:val="002C53D9"/>
    <w:rsid w:val="002C5598"/>
    <w:rsid w:val="002E10CE"/>
    <w:rsid w:val="002E4715"/>
    <w:rsid w:val="002F2AF9"/>
    <w:rsid w:val="002F5174"/>
    <w:rsid w:val="002F6B06"/>
    <w:rsid w:val="003015AD"/>
    <w:rsid w:val="0030240C"/>
    <w:rsid w:val="00303797"/>
    <w:rsid w:val="00306763"/>
    <w:rsid w:val="00306DCA"/>
    <w:rsid w:val="00307F0A"/>
    <w:rsid w:val="003242AE"/>
    <w:rsid w:val="0033080B"/>
    <w:rsid w:val="003329F4"/>
    <w:rsid w:val="00332CD3"/>
    <w:rsid w:val="00342296"/>
    <w:rsid w:val="003422A9"/>
    <w:rsid w:val="00343248"/>
    <w:rsid w:val="003447DF"/>
    <w:rsid w:val="00347091"/>
    <w:rsid w:val="00351DDD"/>
    <w:rsid w:val="00357494"/>
    <w:rsid w:val="00364593"/>
    <w:rsid w:val="00364867"/>
    <w:rsid w:val="00366D69"/>
    <w:rsid w:val="00371DED"/>
    <w:rsid w:val="00374FB6"/>
    <w:rsid w:val="00381F24"/>
    <w:rsid w:val="00382E8A"/>
    <w:rsid w:val="003933EE"/>
    <w:rsid w:val="00394065"/>
    <w:rsid w:val="00395CDE"/>
    <w:rsid w:val="003A1C29"/>
    <w:rsid w:val="003A2A32"/>
    <w:rsid w:val="003A56AE"/>
    <w:rsid w:val="003A65C2"/>
    <w:rsid w:val="003B20F6"/>
    <w:rsid w:val="003B6049"/>
    <w:rsid w:val="003C2191"/>
    <w:rsid w:val="003C3FD9"/>
    <w:rsid w:val="003C50BF"/>
    <w:rsid w:val="003C76FB"/>
    <w:rsid w:val="003D0870"/>
    <w:rsid w:val="003D24AF"/>
    <w:rsid w:val="003D43F7"/>
    <w:rsid w:val="003D5D06"/>
    <w:rsid w:val="003D6191"/>
    <w:rsid w:val="003E26C9"/>
    <w:rsid w:val="003E2FAE"/>
    <w:rsid w:val="003E5648"/>
    <w:rsid w:val="003E5BDA"/>
    <w:rsid w:val="003F06E7"/>
    <w:rsid w:val="003F2503"/>
    <w:rsid w:val="003F4670"/>
    <w:rsid w:val="003F4DF7"/>
    <w:rsid w:val="00402138"/>
    <w:rsid w:val="00403C1E"/>
    <w:rsid w:val="00414A8A"/>
    <w:rsid w:val="00414F5D"/>
    <w:rsid w:val="0041545B"/>
    <w:rsid w:val="004169C2"/>
    <w:rsid w:val="00427406"/>
    <w:rsid w:val="00430330"/>
    <w:rsid w:val="0043192D"/>
    <w:rsid w:val="00433940"/>
    <w:rsid w:val="00436765"/>
    <w:rsid w:val="004372A4"/>
    <w:rsid w:val="00441489"/>
    <w:rsid w:val="00441DC8"/>
    <w:rsid w:val="004422A1"/>
    <w:rsid w:val="004570EA"/>
    <w:rsid w:val="00461CD3"/>
    <w:rsid w:val="004767E1"/>
    <w:rsid w:val="00481679"/>
    <w:rsid w:val="00481DF0"/>
    <w:rsid w:val="00482575"/>
    <w:rsid w:val="00490E69"/>
    <w:rsid w:val="00491FDE"/>
    <w:rsid w:val="00495B3B"/>
    <w:rsid w:val="004A1C21"/>
    <w:rsid w:val="004A3BF7"/>
    <w:rsid w:val="004A57DE"/>
    <w:rsid w:val="004A774A"/>
    <w:rsid w:val="004A78CC"/>
    <w:rsid w:val="004B13D9"/>
    <w:rsid w:val="004B496F"/>
    <w:rsid w:val="004B544E"/>
    <w:rsid w:val="004C6579"/>
    <w:rsid w:val="004C6ABA"/>
    <w:rsid w:val="004D0AB8"/>
    <w:rsid w:val="004D0F64"/>
    <w:rsid w:val="004E123C"/>
    <w:rsid w:val="004E2E22"/>
    <w:rsid w:val="004E7174"/>
    <w:rsid w:val="004E789C"/>
    <w:rsid w:val="004F0478"/>
    <w:rsid w:val="004F100D"/>
    <w:rsid w:val="004F537D"/>
    <w:rsid w:val="00500D38"/>
    <w:rsid w:val="005031A8"/>
    <w:rsid w:val="00503547"/>
    <w:rsid w:val="00505E67"/>
    <w:rsid w:val="00510F84"/>
    <w:rsid w:val="005113B9"/>
    <w:rsid w:val="00513141"/>
    <w:rsid w:val="00514F3C"/>
    <w:rsid w:val="00515FF4"/>
    <w:rsid w:val="00520209"/>
    <w:rsid w:val="00522655"/>
    <w:rsid w:val="005264A3"/>
    <w:rsid w:val="00527F76"/>
    <w:rsid w:val="00530E3F"/>
    <w:rsid w:val="005336D0"/>
    <w:rsid w:val="00533C8B"/>
    <w:rsid w:val="005406D9"/>
    <w:rsid w:val="005466E2"/>
    <w:rsid w:val="005502CE"/>
    <w:rsid w:val="005561D6"/>
    <w:rsid w:val="00557446"/>
    <w:rsid w:val="00561C74"/>
    <w:rsid w:val="005661CA"/>
    <w:rsid w:val="00570607"/>
    <w:rsid w:val="00570DD9"/>
    <w:rsid w:val="005769AD"/>
    <w:rsid w:val="0058467B"/>
    <w:rsid w:val="0058517E"/>
    <w:rsid w:val="00585683"/>
    <w:rsid w:val="00585B3E"/>
    <w:rsid w:val="0059197C"/>
    <w:rsid w:val="00592F34"/>
    <w:rsid w:val="005944A9"/>
    <w:rsid w:val="005962BE"/>
    <w:rsid w:val="005977E1"/>
    <w:rsid w:val="005A5510"/>
    <w:rsid w:val="005A5F21"/>
    <w:rsid w:val="005A648D"/>
    <w:rsid w:val="005B273F"/>
    <w:rsid w:val="005B2E83"/>
    <w:rsid w:val="005B6048"/>
    <w:rsid w:val="005C5EEF"/>
    <w:rsid w:val="005C7A72"/>
    <w:rsid w:val="005D0245"/>
    <w:rsid w:val="005D2F12"/>
    <w:rsid w:val="005D57FB"/>
    <w:rsid w:val="005D59BF"/>
    <w:rsid w:val="005D744D"/>
    <w:rsid w:val="005D775E"/>
    <w:rsid w:val="005E1DDD"/>
    <w:rsid w:val="005E2D4F"/>
    <w:rsid w:val="005E3917"/>
    <w:rsid w:val="005E4260"/>
    <w:rsid w:val="005E6918"/>
    <w:rsid w:val="005F15AE"/>
    <w:rsid w:val="005F5C40"/>
    <w:rsid w:val="00603BEF"/>
    <w:rsid w:val="00606DE7"/>
    <w:rsid w:val="00610A84"/>
    <w:rsid w:val="006116E8"/>
    <w:rsid w:val="00613D69"/>
    <w:rsid w:val="00614913"/>
    <w:rsid w:val="00614BF4"/>
    <w:rsid w:val="0061667E"/>
    <w:rsid w:val="0061772D"/>
    <w:rsid w:val="0062051A"/>
    <w:rsid w:val="00620B5D"/>
    <w:rsid w:val="00621329"/>
    <w:rsid w:val="00622010"/>
    <w:rsid w:val="0062577A"/>
    <w:rsid w:val="006269A6"/>
    <w:rsid w:val="00627D71"/>
    <w:rsid w:val="00630125"/>
    <w:rsid w:val="006334AF"/>
    <w:rsid w:val="00635A2C"/>
    <w:rsid w:val="0063766D"/>
    <w:rsid w:val="0064313A"/>
    <w:rsid w:val="00644443"/>
    <w:rsid w:val="00653A51"/>
    <w:rsid w:val="006619F6"/>
    <w:rsid w:val="006642D4"/>
    <w:rsid w:val="006652C4"/>
    <w:rsid w:val="00665D6A"/>
    <w:rsid w:val="00666041"/>
    <w:rsid w:val="00667F73"/>
    <w:rsid w:val="00675D09"/>
    <w:rsid w:val="006834BD"/>
    <w:rsid w:val="0068463D"/>
    <w:rsid w:val="0068581A"/>
    <w:rsid w:val="006868F0"/>
    <w:rsid w:val="00686B2C"/>
    <w:rsid w:val="006947C5"/>
    <w:rsid w:val="00694EF1"/>
    <w:rsid w:val="00695287"/>
    <w:rsid w:val="00695BEC"/>
    <w:rsid w:val="006A34A9"/>
    <w:rsid w:val="006A367D"/>
    <w:rsid w:val="006B51F5"/>
    <w:rsid w:val="006B5F94"/>
    <w:rsid w:val="006C6231"/>
    <w:rsid w:val="006D5132"/>
    <w:rsid w:val="006E0ECE"/>
    <w:rsid w:val="006E3097"/>
    <w:rsid w:val="006E3F9A"/>
    <w:rsid w:val="006E68A2"/>
    <w:rsid w:val="006E6FBD"/>
    <w:rsid w:val="006F301B"/>
    <w:rsid w:val="00701FD1"/>
    <w:rsid w:val="00703EE6"/>
    <w:rsid w:val="00713A55"/>
    <w:rsid w:val="00713DA7"/>
    <w:rsid w:val="007162B6"/>
    <w:rsid w:val="0072108C"/>
    <w:rsid w:val="007225DF"/>
    <w:rsid w:val="00724F60"/>
    <w:rsid w:val="00727E5D"/>
    <w:rsid w:val="007317B0"/>
    <w:rsid w:val="007336DF"/>
    <w:rsid w:val="0073552F"/>
    <w:rsid w:val="00745AC0"/>
    <w:rsid w:val="007475B0"/>
    <w:rsid w:val="00751FDC"/>
    <w:rsid w:val="007528A5"/>
    <w:rsid w:val="007552F3"/>
    <w:rsid w:val="00760625"/>
    <w:rsid w:val="00760D73"/>
    <w:rsid w:val="0076776D"/>
    <w:rsid w:val="00770A0D"/>
    <w:rsid w:val="00771790"/>
    <w:rsid w:val="00773259"/>
    <w:rsid w:val="00781848"/>
    <w:rsid w:val="007828C6"/>
    <w:rsid w:val="0078370D"/>
    <w:rsid w:val="00784875"/>
    <w:rsid w:val="00787CB9"/>
    <w:rsid w:val="00790979"/>
    <w:rsid w:val="007944E0"/>
    <w:rsid w:val="007979BB"/>
    <w:rsid w:val="007A076F"/>
    <w:rsid w:val="007A46CA"/>
    <w:rsid w:val="007B092E"/>
    <w:rsid w:val="007B1B2D"/>
    <w:rsid w:val="007B4C01"/>
    <w:rsid w:val="007B657E"/>
    <w:rsid w:val="007C0123"/>
    <w:rsid w:val="007C0544"/>
    <w:rsid w:val="007C0F63"/>
    <w:rsid w:val="007C142A"/>
    <w:rsid w:val="007C4AD6"/>
    <w:rsid w:val="007D435E"/>
    <w:rsid w:val="007D4724"/>
    <w:rsid w:val="007D6D17"/>
    <w:rsid w:val="007E0E84"/>
    <w:rsid w:val="007E4F77"/>
    <w:rsid w:val="007E5D93"/>
    <w:rsid w:val="007F1098"/>
    <w:rsid w:val="007F373C"/>
    <w:rsid w:val="007F3BCC"/>
    <w:rsid w:val="007F4E80"/>
    <w:rsid w:val="007F55BD"/>
    <w:rsid w:val="007F5A4D"/>
    <w:rsid w:val="007F5D63"/>
    <w:rsid w:val="007F7DDB"/>
    <w:rsid w:val="008020E4"/>
    <w:rsid w:val="008041EF"/>
    <w:rsid w:val="00813589"/>
    <w:rsid w:val="00823906"/>
    <w:rsid w:val="00826468"/>
    <w:rsid w:val="00831E44"/>
    <w:rsid w:val="0084094F"/>
    <w:rsid w:val="00842350"/>
    <w:rsid w:val="00844ED0"/>
    <w:rsid w:val="00851915"/>
    <w:rsid w:val="00861942"/>
    <w:rsid w:val="00867785"/>
    <w:rsid w:val="00873277"/>
    <w:rsid w:val="00873B3D"/>
    <w:rsid w:val="00875703"/>
    <w:rsid w:val="00875F96"/>
    <w:rsid w:val="0088099A"/>
    <w:rsid w:val="008817A3"/>
    <w:rsid w:val="0089053E"/>
    <w:rsid w:val="008909EA"/>
    <w:rsid w:val="0089112A"/>
    <w:rsid w:val="008911EF"/>
    <w:rsid w:val="00895454"/>
    <w:rsid w:val="00895477"/>
    <w:rsid w:val="00896197"/>
    <w:rsid w:val="008A3242"/>
    <w:rsid w:val="008B51ED"/>
    <w:rsid w:val="008B6BD7"/>
    <w:rsid w:val="008C09EA"/>
    <w:rsid w:val="008C1B70"/>
    <w:rsid w:val="008C33FB"/>
    <w:rsid w:val="008C425D"/>
    <w:rsid w:val="008C6395"/>
    <w:rsid w:val="008C71BD"/>
    <w:rsid w:val="008C72B0"/>
    <w:rsid w:val="008E2B78"/>
    <w:rsid w:val="008E4CD7"/>
    <w:rsid w:val="008F0096"/>
    <w:rsid w:val="008F223F"/>
    <w:rsid w:val="008F4B64"/>
    <w:rsid w:val="008F685F"/>
    <w:rsid w:val="008F7FCB"/>
    <w:rsid w:val="00900178"/>
    <w:rsid w:val="00901A03"/>
    <w:rsid w:val="00907290"/>
    <w:rsid w:val="009108E7"/>
    <w:rsid w:val="009149D5"/>
    <w:rsid w:val="00917471"/>
    <w:rsid w:val="00917527"/>
    <w:rsid w:val="0091797D"/>
    <w:rsid w:val="00920C25"/>
    <w:rsid w:val="00923240"/>
    <w:rsid w:val="0092357A"/>
    <w:rsid w:val="009237DC"/>
    <w:rsid w:val="00923D56"/>
    <w:rsid w:val="0092450A"/>
    <w:rsid w:val="00930757"/>
    <w:rsid w:val="00942289"/>
    <w:rsid w:val="00946073"/>
    <w:rsid w:val="0095476C"/>
    <w:rsid w:val="00956F30"/>
    <w:rsid w:val="0095758D"/>
    <w:rsid w:val="00962765"/>
    <w:rsid w:val="0096558A"/>
    <w:rsid w:val="00966348"/>
    <w:rsid w:val="009673DC"/>
    <w:rsid w:val="009703B2"/>
    <w:rsid w:val="009760E1"/>
    <w:rsid w:val="00982BAA"/>
    <w:rsid w:val="00987521"/>
    <w:rsid w:val="00990CF3"/>
    <w:rsid w:val="009A42D8"/>
    <w:rsid w:val="009A503A"/>
    <w:rsid w:val="009C00BA"/>
    <w:rsid w:val="009C1E43"/>
    <w:rsid w:val="009C261C"/>
    <w:rsid w:val="009C46A9"/>
    <w:rsid w:val="009D03C8"/>
    <w:rsid w:val="009D7880"/>
    <w:rsid w:val="009D78DB"/>
    <w:rsid w:val="009F2F5E"/>
    <w:rsid w:val="009F32DA"/>
    <w:rsid w:val="009F36C4"/>
    <w:rsid w:val="009F482D"/>
    <w:rsid w:val="009F55A4"/>
    <w:rsid w:val="00A0797B"/>
    <w:rsid w:val="00A07E67"/>
    <w:rsid w:val="00A10B3B"/>
    <w:rsid w:val="00A23C92"/>
    <w:rsid w:val="00A24C6B"/>
    <w:rsid w:val="00A33555"/>
    <w:rsid w:val="00A3583E"/>
    <w:rsid w:val="00A35A76"/>
    <w:rsid w:val="00A369AB"/>
    <w:rsid w:val="00A41DBA"/>
    <w:rsid w:val="00A42BFC"/>
    <w:rsid w:val="00A50913"/>
    <w:rsid w:val="00A50CA0"/>
    <w:rsid w:val="00A531A4"/>
    <w:rsid w:val="00A53CF8"/>
    <w:rsid w:val="00A55197"/>
    <w:rsid w:val="00A574E1"/>
    <w:rsid w:val="00A62267"/>
    <w:rsid w:val="00A71D5F"/>
    <w:rsid w:val="00A77CA7"/>
    <w:rsid w:val="00A80DEF"/>
    <w:rsid w:val="00A82254"/>
    <w:rsid w:val="00A8711E"/>
    <w:rsid w:val="00A91228"/>
    <w:rsid w:val="00A94C75"/>
    <w:rsid w:val="00A95E5F"/>
    <w:rsid w:val="00AA1F9B"/>
    <w:rsid w:val="00AA7389"/>
    <w:rsid w:val="00AB008A"/>
    <w:rsid w:val="00AB6BA1"/>
    <w:rsid w:val="00AC32C8"/>
    <w:rsid w:val="00AC40C8"/>
    <w:rsid w:val="00AC69E0"/>
    <w:rsid w:val="00AD075C"/>
    <w:rsid w:val="00AD1581"/>
    <w:rsid w:val="00AD1F78"/>
    <w:rsid w:val="00AD21BD"/>
    <w:rsid w:val="00AD23F2"/>
    <w:rsid w:val="00AD3122"/>
    <w:rsid w:val="00AD3F6F"/>
    <w:rsid w:val="00AE26AC"/>
    <w:rsid w:val="00AE4BC4"/>
    <w:rsid w:val="00AF2339"/>
    <w:rsid w:val="00B0293E"/>
    <w:rsid w:val="00B03A55"/>
    <w:rsid w:val="00B03B4C"/>
    <w:rsid w:val="00B051F2"/>
    <w:rsid w:val="00B0771F"/>
    <w:rsid w:val="00B1261C"/>
    <w:rsid w:val="00B139A8"/>
    <w:rsid w:val="00B13CF2"/>
    <w:rsid w:val="00B153EC"/>
    <w:rsid w:val="00B21651"/>
    <w:rsid w:val="00B232EC"/>
    <w:rsid w:val="00B23880"/>
    <w:rsid w:val="00B244FD"/>
    <w:rsid w:val="00B2769E"/>
    <w:rsid w:val="00B30218"/>
    <w:rsid w:val="00B339A0"/>
    <w:rsid w:val="00B3596E"/>
    <w:rsid w:val="00B368BA"/>
    <w:rsid w:val="00B41970"/>
    <w:rsid w:val="00B425B0"/>
    <w:rsid w:val="00B42E74"/>
    <w:rsid w:val="00B4410A"/>
    <w:rsid w:val="00B47939"/>
    <w:rsid w:val="00B511D5"/>
    <w:rsid w:val="00B52410"/>
    <w:rsid w:val="00B5265F"/>
    <w:rsid w:val="00B566D9"/>
    <w:rsid w:val="00B56B14"/>
    <w:rsid w:val="00B602BE"/>
    <w:rsid w:val="00B62056"/>
    <w:rsid w:val="00B7120E"/>
    <w:rsid w:val="00B71A58"/>
    <w:rsid w:val="00B72340"/>
    <w:rsid w:val="00B72B9C"/>
    <w:rsid w:val="00B75F11"/>
    <w:rsid w:val="00B813F1"/>
    <w:rsid w:val="00B84F71"/>
    <w:rsid w:val="00B86228"/>
    <w:rsid w:val="00B87A7B"/>
    <w:rsid w:val="00B92326"/>
    <w:rsid w:val="00B92603"/>
    <w:rsid w:val="00B92699"/>
    <w:rsid w:val="00B92D2D"/>
    <w:rsid w:val="00B9379A"/>
    <w:rsid w:val="00BA0471"/>
    <w:rsid w:val="00BB1459"/>
    <w:rsid w:val="00BB6ADA"/>
    <w:rsid w:val="00BC00E5"/>
    <w:rsid w:val="00BC4730"/>
    <w:rsid w:val="00BC4EE1"/>
    <w:rsid w:val="00BC6515"/>
    <w:rsid w:val="00BC6987"/>
    <w:rsid w:val="00BD04F6"/>
    <w:rsid w:val="00BD0A53"/>
    <w:rsid w:val="00BD103E"/>
    <w:rsid w:val="00BD2925"/>
    <w:rsid w:val="00BD7B16"/>
    <w:rsid w:val="00BF2094"/>
    <w:rsid w:val="00BF67DB"/>
    <w:rsid w:val="00C01243"/>
    <w:rsid w:val="00C10F73"/>
    <w:rsid w:val="00C12376"/>
    <w:rsid w:val="00C17873"/>
    <w:rsid w:val="00C21884"/>
    <w:rsid w:val="00C23ADF"/>
    <w:rsid w:val="00C245CD"/>
    <w:rsid w:val="00C24EEC"/>
    <w:rsid w:val="00C267EF"/>
    <w:rsid w:val="00C26DAD"/>
    <w:rsid w:val="00C3102F"/>
    <w:rsid w:val="00C33BCF"/>
    <w:rsid w:val="00C34234"/>
    <w:rsid w:val="00C3513F"/>
    <w:rsid w:val="00C351F0"/>
    <w:rsid w:val="00C378FB"/>
    <w:rsid w:val="00C42211"/>
    <w:rsid w:val="00C43576"/>
    <w:rsid w:val="00C46B39"/>
    <w:rsid w:val="00C53409"/>
    <w:rsid w:val="00C56B11"/>
    <w:rsid w:val="00C647BC"/>
    <w:rsid w:val="00C71390"/>
    <w:rsid w:val="00C72EEB"/>
    <w:rsid w:val="00C743E1"/>
    <w:rsid w:val="00C74D4A"/>
    <w:rsid w:val="00C763B6"/>
    <w:rsid w:val="00C86933"/>
    <w:rsid w:val="00C871A9"/>
    <w:rsid w:val="00C87C45"/>
    <w:rsid w:val="00C90999"/>
    <w:rsid w:val="00C91844"/>
    <w:rsid w:val="00C9560F"/>
    <w:rsid w:val="00CA0152"/>
    <w:rsid w:val="00CA1D6F"/>
    <w:rsid w:val="00CA251F"/>
    <w:rsid w:val="00CA3584"/>
    <w:rsid w:val="00CA41E4"/>
    <w:rsid w:val="00CA6D44"/>
    <w:rsid w:val="00CA778B"/>
    <w:rsid w:val="00CB2A18"/>
    <w:rsid w:val="00CB3CB6"/>
    <w:rsid w:val="00CB4CFF"/>
    <w:rsid w:val="00CB4E63"/>
    <w:rsid w:val="00CB6359"/>
    <w:rsid w:val="00CC028A"/>
    <w:rsid w:val="00CD2DC9"/>
    <w:rsid w:val="00CD3D54"/>
    <w:rsid w:val="00CE3AE8"/>
    <w:rsid w:val="00CE3CD8"/>
    <w:rsid w:val="00CE6DA8"/>
    <w:rsid w:val="00CE7A54"/>
    <w:rsid w:val="00CE7D55"/>
    <w:rsid w:val="00CF0232"/>
    <w:rsid w:val="00CF720C"/>
    <w:rsid w:val="00CF7B98"/>
    <w:rsid w:val="00D014CB"/>
    <w:rsid w:val="00D01B0F"/>
    <w:rsid w:val="00D035DB"/>
    <w:rsid w:val="00D03FBF"/>
    <w:rsid w:val="00D04370"/>
    <w:rsid w:val="00D045B8"/>
    <w:rsid w:val="00D05754"/>
    <w:rsid w:val="00D061A3"/>
    <w:rsid w:val="00D067E6"/>
    <w:rsid w:val="00D10B3E"/>
    <w:rsid w:val="00D12ED2"/>
    <w:rsid w:val="00D134E7"/>
    <w:rsid w:val="00D13F1F"/>
    <w:rsid w:val="00D13F7F"/>
    <w:rsid w:val="00D14106"/>
    <w:rsid w:val="00D2080F"/>
    <w:rsid w:val="00D259BC"/>
    <w:rsid w:val="00D267D2"/>
    <w:rsid w:val="00D30D35"/>
    <w:rsid w:val="00D31CEE"/>
    <w:rsid w:val="00D35991"/>
    <w:rsid w:val="00D42E2A"/>
    <w:rsid w:val="00D441B9"/>
    <w:rsid w:val="00D44381"/>
    <w:rsid w:val="00D44669"/>
    <w:rsid w:val="00D44747"/>
    <w:rsid w:val="00D44A89"/>
    <w:rsid w:val="00D475EB"/>
    <w:rsid w:val="00D50E71"/>
    <w:rsid w:val="00D51928"/>
    <w:rsid w:val="00D60D15"/>
    <w:rsid w:val="00D62BFD"/>
    <w:rsid w:val="00D62EBF"/>
    <w:rsid w:val="00D6479C"/>
    <w:rsid w:val="00D71C29"/>
    <w:rsid w:val="00D734C2"/>
    <w:rsid w:val="00D7554C"/>
    <w:rsid w:val="00D8571F"/>
    <w:rsid w:val="00D858F5"/>
    <w:rsid w:val="00D90C16"/>
    <w:rsid w:val="00D92919"/>
    <w:rsid w:val="00DA3892"/>
    <w:rsid w:val="00DA555F"/>
    <w:rsid w:val="00DB1802"/>
    <w:rsid w:val="00DB2037"/>
    <w:rsid w:val="00DB2760"/>
    <w:rsid w:val="00DB40F5"/>
    <w:rsid w:val="00DB63D2"/>
    <w:rsid w:val="00DC7311"/>
    <w:rsid w:val="00DD6228"/>
    <w:rsid w:val="00DE3D99"/>
    <w:rsid w:val="00DF171D"/>
    <w:rsid w:val="00DF1D7C"/>
    <w:rsid w:val="00DF2642"/>
    <w:rsid w:val="00DF30F0"/>
    <w:rsid w:val="00E00D74"/>
    <w:rsid w:val="00E017C0"/>
    <w:rsid w:val="00E022D8"/>
    <w:rsid w:val="00E058FF"/>
    <w:rsid w:val="00E060B7"/>
    <w:rsid w:val="00E114F5"/>
    <w:rsid w:val="00E149E6"/>
    <w:rsid w:val="00E151EF"/>
    <w:rsid w:val="00E227CB"/>
    <w:rsid w:val="00E302FB"/>
    <w:rsid w:val="00E36D26"/>
    <w:rsid w:val="00E42876"/>
    <w:rsid w:val="00E433D5"/>
    <w:rsid w:val="00E476BB"/>
    <w:rsid w:val="00E47DE3"/>
    <w:rsid w:val="00E53FB9"/>
    <w:rsid w:val="00E645FE"/>
    <w:rsid w:val="00E672BA"/>
    <w:rsid w:val="00E72145"/>
    <w:rsid w:val="00E74867"/>
    <w:rsid w:val="00E75D58"/>
    <w:rsid w:val="00E779AB"/>
    <w:rsid w:val="00E8270E"/>
    <w:rsid w:val="00E82983"/>
    <w:rsid w:val="00E82CBF"/>
    <w:rsid w:val="00E8668B"/>
    <w:rsid w:val="00E867EE"/>
    <w:rsid w:val="00E9019C"/>
    <w:rsid w:val="00E93093"/>
    <w:rsid w:val="00E93F97"/>
    <w:rsid w:val="00E949F2"/>
    <w:rsid w:val="00EA029C"/>
    <w:rsid w:val="00EA1BC5"/>
    <w:rsid w:val="00EA3CEB"/>
    <w:rsid w:val="00EB3D1B"/>
    <w:rsid w:val="00EB4800"/>
    <w:rsid w:val="00EB53AE"/>
    <w:rsid w:val="00EB6652"/>
    <w:rsid w:val="00EC42C0"/>
    <w:rsid w:val="00EC4EDE"/>
    <w:rsid w:val="00EC5A5B"/>
    <w:rsid w:val="00EC6810"/>
    <w:rsid w:val="00ED462F"/>
    <w:rsid w:val="00ED55E3"/>
    <w:rsid w:val="00ED5C48"/>
    <w:rsid w:val="00ED708E"/>
    <w:rsid w:val="00EE1507"/>
    <w:rsid w:val="00EE38A3"/>
    <w:rsid w:val="00EE5618"/>
    <w:rsid w:val="00EE5964"/>
    <w:rsid w:val="00EE626C"/>
    <w:rsid w:val="00EE6A77"/>
    <w:rsid w:val="00EE709D"/>
    <w:rsid w:val="00EF07BC"/>
    <w:rsid w:val="00EF14AF"/>
    <w:rsid w:val="00EF1E92"/>
    <w:rsid w:val="00EF4DAB"/>
    <w:rsid w:val="00EF56C6"/>
    <w:rsid w:val="00EF570E"/>
    <w:rsid w:val="00EF7FEC"/>
    <w:rsid w:val="00F0148F"/>
    <w:rsid w:val="00F06815"/>
    <w:rsid w:val="00F1256C"/>
    <w:rsid w:val="00F228D7"/>
    <w:rsid w:val="00F3078E"/>
    <w:rsid w:val="00F308FA"/>
    <w:rsid w:val="00F30EEB"/>
    <w:rsid w:val="00F31895"/>
    <w:rsid w:val="00F33F6E"/>
    <w:rsid w:val="00F34B04"/>
    <w:rsid w:val="00F36D92"/>
    <w:rsid w:val="00F45B63"/>
    <w:rsid w:val="00F460E5"/>
    <w:rsid w:val="00F50A7C"/>
    <w:rsid w:val="00F51F4C"/>
    <w:rsid w:val="00F5522E"/>
    <w:rsid w:val="00F63B46"/>
    <w:rsid w:val="00F63EB6"/>
    <w:rsid w:val="00F71CB0"/>
    <w:rsid w:val="00F7762A"/>
    <w:rsid w:val="00F80AD7"/>
    <w:rsid w:val="00F8187F"/>
    <w:rsid w:val="00F81FDA"/>
    <w:rsid w:val="00F852F3"/>
    <w:rsid w:val="00F86CA8"/>
    <w:rsid w:val="00F91632"/>
    <w:rsid w:val="00F91CBD"/>
    <w:rsid w:val="00F92FD1"/>
    <w:rsid w:val="00F94993"/>
    <w:rsid w:val="00FA0B71"/>
    <w:rsid w:val="00FA23C0"/>
    <w:rsid w:val="00FA4714"/>
    <w:rsid w:val="00FA668B"/>
    <w:rsid w:val="00FB14D4"/>
    <w:rsid w:val="00FB1543"/>
    <w:rsid w:val="00FB3BD7"/>
    <w:rsid w:val="00FB48C9"/>
    <w:rsid w:val="00FC0133"/>
    <w:rsid w:val="00FC0A13"/>
    <w:rsid w:val="00FC1009"/>
    <w:rsid w:val="00FC24F0"/>
    <w:rsid w:val="00FC2E77"/>
    <w:rsid w:val="00FC5DCE"/>
    <w:rsid w:val="00FD22AE"/>
    <w:rsid w:val="00FE3211"/>
    <w:rsid w:val="00FE4F94"/>
    <w:rsid w:val="00FE7EF3"/>
    <w:rsid w:val="00FF2232"/>
    <w:rsid w:val="00FF3530"/>
    <w:rsid w:val="00FF5CAC"/>
    <w:rsid w:val="01DF6450"/>
    <w:rsid w:val="02034090"/>
    <w:rsid w:val="026E0F58"/>
    <w:rsid w:val="02E8269B"/>
    <w:rsid w:val="031C7410"/>
    <w:rsid w:val="031F6BD4"/>
    <w:rsid w:val="03A832F0"/>
    <w:rsid w:val="03B33F24"/>
    <w:rsid w:val="04532E8B"/>
    <w:rsid w:val="0531110E"/>
    <w:rsid w:val="05312700"/>
    <w:rsid w:val="06001077"/>
    <w:rsid w:val="06FC745F"/>
    <w:rsid w:val="074D5CCE"/>
    <w:rsid w:val="08287A4C"/>
    <w:rsid w:val="082B4C4C"/>
    <w:rsid w:val="08BA4CE8"/>
    <w:rsid w:val="0A0379D6"/>
    <w:rsid w:val="0A0B384C"/>
    <w:rsid w:val="0A8A2D1A"/>
    <w:rsid w:val="0DA535FD"/>
    <w:rsid w:val="0DDD5125"/>
    <w:rsid w:val="0E700D32"/>
    <w:rsid w:val="0EAC5AC5"/>
    <w:rsid w:val="0EB93DA8"/>
    <w:rsid w:val="0EEF4B56"/>
    <w:rsid w:val="10003861"/>
    <w:rsid w:val="104C2A0D"/>
    <w:rsid w:val="1091772B"/>
    <w:rsid w:val="110321FA"/>
    <w:rsid w:val="114C45F4"/>
    <w:rsid w:val="12107DED"/>
    <w:rsid w:val="12602699"/>
    <w:rsid w:val="138424A8"/>
    <w:rsid w:val="13965A6E"/>
    <w:rsid w:val="13F23998"/>
    <w:rsid w:val="1425242F"/>
    <w:rsid w:val="156955AD"/>
    <w:rsid w:val="15AF0831"/>
    <w:rsid w:val="16360B52"/>
    <w:rsid w:val="17542C7B"/>
    <w:rsid w:val="17C01C3C"/>
    <w:rsid w:val="182A263E"/>
    <w:rsid w:val="1A702254"/>
    <w:rsid w:val="1ADF38C5"/>
    <w:rsid w:val="1AFD048C"/>
    <w:rsid w:val="1B122B94"/>
    <w:rsid w:val="1BF618B1"/>
    <w:rsid w:val="1CC461B6"/>
    <w:rsid w:val="1CEC0EA3"/>
    <w:rsid w:val="1D107C42"/>
    <w:rsid w:val="1D5801D4"/>
    <w:rsid w:val="1DB671BD"/>
    <w:rsid w:val="1DB77F2D"/>
    <w:rsid w:val="1DC26C08"/>
    <w:rsid w:val="1DD95E0F"/>
    <w:rsid w:val="1DEC7745"/>
    <w:rsid w:val="1E6577B3"/>
    <w:rsid w:val="1E6738AA"/>
    <w:rsid w:val="1E712719"/>
    <w:rsid w:val="1F003186"/>
    <w:rsid w:val="1FF278FA"/>
    <w:rsid w:val="20A87B94"/>
    <w:rsid w:val="20E316B9"/>
    <w:rsid w:val="22600256"/>
    <w:rsid w:val="231A6657"/>
    <w:rsid w:val="235834E3"/>
    <w:rsid w:val="237D12B0"/>
    <w:rsid w:val="23C503F1"/>
    <w:rsid w:val="24205FF3"/>
    <w:rsid w:val="250E47B6"/>
    <w:rsid w:val="256E67E6"/>
    <w:rsid w:val="25B1161D"/>
    <w:rsid w:val="261627F1"/>
    <w:rsid w:val="2676670C"/>
    <w:rsid w:val="279D0795"/>
    <w:rsid w:val="27A952B8"/>
    <w:rsid w:val="28153999"/>
    <w:rsid w:val="2878685B"/>
    <w:rsid w:val="289E1794"/>
    <w:rsid w:val="29694854"/>
    <w:rsid w:val="2AAA6A9A"/>
    <w:rsid w:val="2AC26804"/>
    <w:rsid w:val="2B5330F3"/>
    <w:rsid w:val="2C365407"/>
    <w:rsid w:val="2CB109B3"/>
    <w:rsid w:val="2CF60B4C"/>
    <w:rsid w:val="2D0C0D94"/>
    <w:rsid w:val="2D350601"/>
    <w:rsid w:val="2E034985"/>
    <w:rsid w:val="2E17378D"/>
    <w:rsid w:val="2E67320E"/>
    <w:rsid w:val="2E7934FA"/>
    <w:rsid w:val="2FE24DDE"/>
    <w:rsid w:val="30BA3009"/>
    <w:rsid w:val="30C853DB"/>
    <w:rsid w:val="31032902"/>
    <w:rsid w:val="32385F03"/>
    <w:rsid w:val="32E120E5"/>
    <w:rsid w:val="33BC3B9E"/>
    <w:rsid w:val="34245C0A"/>
    <w:rsid w:val="354D2957"/>
    <w:rsid w:val="35C40680"/>
    <w:rsid w:val="362A3EBE"/>
    <w:rsid w:val="36A72C4B"/>
    <w:rsid w:val="37F56E73"/>
    <w:rsid w:val="38055EFB"/>
    <w:rsid w:val="3A282FB0"/>
    <w:rsid w:val="3AB41E23"/>
    <w:rsid w:val="3C7D00C5"/>
    <w:rsid w:val="3CBD35D6"/>
    <w:rsid w:val="3CC27166"/>
    <w:rsid w:val="3ED129A4"/>
    <w:rsid w:val="3F021405"/>
    <w:rsid w:val="3FB24A7F"/>
    <w:rsid w:val="40581AFA"/>
    <w:rsid w:val="408130B7"/>
    <w:rsid w:val="4082307A"/>
    <w:rsid w:val="4147770E"/>
    <w:rsid w:val="41E9396D"/>
    <w:rsid w:val="42052F4F"/>
    <w:rsid w:val="4257769C"/>
    <w:rsid w:val="42A95C50"/>
    <w:rsid w:val="42C86989"/>
    <w:rsid w:val="42DB5C42"/>
    <w:rsid w:val="433E10C9"/>
    <w:rsid w:val="43F02ED5"/>
    <w:rsid w:val="445C6FD4"/>
    <w:rsid w:val="470423B2"/>
    <w:rsid w:val="47B45D7C"/>
    <w:rsid w:val="48347F73"/>
    <w:rsid w:val="48AD5D4C"/>
    <w:rsid w:val="4981517C"/>
    <w:rsid w:val="499D3A5F"/>
    <w:rsid w:val="49FC646E"/>
    <w:rsid w:val="4A6730D7"/>
    <w:rsid w:val="4AC66BC4"/>
    <w:rsid w:val="4B174D89"/>
    <w:rsid w:val="4B6F72D8"/>
    <w:rsid w:val="4B735596"/>
    <w:rsid w:val="4BCC77E8"/>
    <w:rsid w:val="4BE32EA8"/>
    <w:rsid w:val="4CA213EA"/>
    <w:rsid w:val="4D1D6CAE"/>
    <w:rsid w:val="4D255EAC"/>
    <w:rsid w:val="4EA16CF1"/>
    <w:rsid w:val="4EF41687"/>
    <w:rsid w:val="4F4C4EE9"/>
    <w:rsid w:val="4FD55BB6"/>
    <w:rsid w:val="506C11A1"/>
    <w:rsid w:val="50AA0ACE"/>
    <w:rsid w:val="51297915"/>
    <w:rsid w:val="519B639B"/>
    <w:rsid w:val="51AF4249"/>
    <w:rsid w:val="51B23F41"/>
    <w:rsid w:val="538A3D3C"/>
    <w:rsid w:val="53BD1BE2"/>
    <w:rsid w:val="54051882"/>
    <w:rsid w:val="5414334E"/>
    <w:rsid w:val="54C430CF"/>
    <w:rsid w:val="54F23C12"/>
    <w:rsid w:val="554E7400"/>
    <w:rsid w:val="55BF2CE6"/>
    <w:rsid w:val="56301D2B"/>
    <w:rsid w:val="57DD25EA"/>
    <w:rsid w:val="58DC01AD"/>
    <w:rsid w:val="59C265A0"/>
    <w:rsid w:val="59ED3476"/>
    <w:rsid w:val="5B2E0030"/>
    <w:rsid w:val="5B4413D8"/>
    <w:rsid w:val="5B5C00ED"/>
    <w:rsid w:val="5BB73F01"/>
    <w:rsid w:val="5C2B0E5F"/>
    <w:rsid w:val="5C670B03"/>
    <w:rsid w:val="5CC65EE3"/>
    <w:rsid w:val="5D9F137C"/>
    <w:rsid w:val="5EC55A57"/>
    <w:rsid w:val="5F280DF4"/>
    <w:rsid w:val="5F8C51E0"/>
    <w:rsid w:val="5FB84894"/>
    <w:rsid w:val="5FC049CA"/>
    <w:rsid w:val="5FC670DB"/>
    <w:rsid w:val="5FED16E0"/>
    <w:rsid w:val="60F753DC"/>
    <w:rsid w:val="613A7987"/>
    <w:rsid w:val="61487E83"/>
    <w:rsid w:val="617D4754"/>
    <w:rsid w:val="624024E6"/>
    <w:rsid w:val="6372356A"/>
    <w:rsid w:val="63AD3343"/>
    <w:rsid w:val="640051FF"/>
    <w:rsid w:val="657C6717"/>
    <w:rsid w:val="665B6F8E"/>
    <w:rsid w:val="67AC6003"/>
    <w:rsid w:val="67BE0D6B"/>
    <w:rsid w:val="67C57763"/>
    <w:rsid w:val="688764C8"/>
    <w:rsid w:val="69735668"/>
    <w:rsid w:val="6A3D0BA7"/>
    <w:rsid w:val="6B136D93"/>
    <w:rsid w:val="6B2065AF"/>
    <w:rsid w:val="6B2805C9"/>
    <w:rsid w:val="6B68159C"/>
    <w:rsid w:val="6BA9747D"/>
    <w:rsid w:val="6C6B7BFB"/>
    <w:rsid w:val="6DE85A5F"/>
    <w:rsid w:val="6F1F2262"/>
    <w:rsid w:val="6F97766B"/>
    <w:rsid w:val="6FCD1319"/>
    <w:rsid w:val="6FE02018"/>
    <w:rsid w:val="7012026B"/>
    <w:rsid w:val="70AC082E"/>
    <w:rsid w:val="70D719BB"/>
    <w:rsid w:val="713074DF"/>
    <w:rsid w:val="71855868"/>
    <w:rsid w:val="718E2BD6"/>
    <w:rsid w:val="72561A16"/>
    <w:rsid w:val="744353D7"/>
    <w:rsid w:val="748D207D"/>
    <w:rsid w:val="74AD3FEA"/>
    <w:rsid w:val="75371132"/>
    <w:rsid w:val="755613A9"/>
    <w:rsid w:val="76DB7F62"/>
    <w:rsid w:val="76EF48C7"/>
    <w:rsid w:val="77BC3368"/>
    <w:rsid w:val="788C6CDA"/>
    <w:rsid w:val="78A65452"/>
    <w:rsid w:val="793A381E"/>
    <w:rsid w:val="79613A81"/>
    <w:rsid w:val="799F1F0D"/>
    <w:rsid w:val="7ACE0E3F"/>
    <w:rsid w:val="7B432859"/>
    <w:rsid w:val="7B8C7097"/>
    <w:rsid w:val="7BC8216F"/>
    <w:rsid w:val="7BFF77C5"/>
    <w:rsid w:val="7C12297D"/>
    <w:rsid w:val="7C3946B6"/>
    <w:rsid w:val="7D805C7A"/>
    <w:rsid w:val="7DDFA8FB"/>
    <w:rsid w:val="7E570155"/>
    <w:rsid w:val="7FD44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0"/>
    <w:qFormat/>
    <w:uiPriority w:val="0"/>
    <w:pPr>
      <w:keepNext/>
      <w:keepLines/>
      <w:spacing w:line="360" w:lineRule="auto"/>
      <w:jc w:val="center"/>
      <w:outlineLvl w:val="0"/>
    </w:pPr>
    <w:rPr>
      <w:rFonts w:ascii="宋体" w:hAnsi="宋体" w:eastAsia="宋体"/>
      <w:b/>
      <w:kern w:val="44"/>
      <w:sz w:val="32"/>
    </w:rPr>
  </w:style>
  <w:style w:type="paragraph" w:styleId="3">
    <w:name w:val="heading 2"/>
    <w:basedOn w:val="1"/>
    <w:next w:val="1"/>
    <w:unhideWhenUsed/>
    <w:qFormat/>
    <w:uiPriority w:val="0"/>
    <w:pPr>
      <w:keepNext/>
      <w:keepLines/>
      <w:spacing w:line="360" w:lineRule="auto"/>
      <w:outlineLvl w:val="1"/>
    </w:pPr>
    <w:rPr>
      <w:rFonts w:ascii="宋体" w:hAnsi="宋体" w:eastAsia="宋体"/>
      <w:b/>
      <w:sz w:val="32"/>
    </w:rPr>
  </w:style>
  <w:style w:type="paragraph" w:styleId="4">
    <w:name w:val="heading 3"/>
    <w:basedOn w:val="1"/>
    <w:next w:val="1"/>
    <w:unhideWhenUsed/>
    <w:qFormat/>
    <w:uiPriority w:val="0"/>
    <w:pPr>
      <w:keepNext/>
      <w:keepLines/>
      <w:spacing w:line="360" w:lineRule="auto"/>
      <w:outlineLvl w:val="2"/>
    </w:pPr>
    <w:rPr>
      <w:rFonts w:ascii="宋体" w:hAnsi="宋体" w:eastAsia="宋体"/>
      <w:b/>
      <w:sz w:val="28"/>
    </w:rPr>
  </w:style>
  <w:style w:type="paragraph" w:styleId="5">
    <w:name w:val="heading 4"/>
    <w:basedOn w:val="1"/>
    <w:next w:val="1"/>
    <w:link w:val="42"/>
    <w:unhideWhenUsed/>
    <w:qFormat/>
    <w:uiPriority w:val="0"/>
    <w:pPr>
      <w:keepNext/>
      <w:keepLines/>
      <w:spacing w:line="360" w:lineRule="auto"/>
      <w:outlineLvl w:val="3"/>
    </w:pPr>
    <w:rPr>
      <w:rFonts w:ascii="宋体" w:hAnsi="宋体" w:eastAsia="宋体"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szCs w:val="22"/>
    </w:rPr>
  </w:style>
  <w:style w:type="paragraph" w:styleId="7">
    <w:name w:val="Normal Indent"/>
    <w:basedOn w:val="1"/>
    <w:link w:val="43"/>
    <w:qFormat/>
    <w:uiPriority w:val="0"/>
    <w:pPr>
      <w:ind w:firstLine="200" w:firstLineChars="200"/>
    </w:pPr>
    <w:rPr>
      <w:rFonts w:ascii="Arial" w:hAnsi="Arial"/>
      <w:sz w:val="24"/>
      <w:szCs w:val="21"/>
    </w:rPr>
  </w:style>
  <w:style w:type="paragraph" w:styleId="8">
    <w:name w:val="annotation text"/>
    <w:basedOn w:val="1"/>
    <w:link w:val="51"/>
    <w:qFormat/>
    <w:uiPriority w:val="0"/>
    <w:pPr>
      <w:jc w:val="left"/>
    </w:pPr>
  </w:style>
  <w:style w:type="paragraph" w:styleId="9">
    <w:name w:val="Body Text"/>
    <w:basedOn w:val="1"/>
    <w:next w:val="1"/>
    <w:link w:val="57"/>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10">
    <w:name w:val="Body Text Indent"/>
    <w:basedOn w:val="1"/>
    <w:link w:val="35"/>
    <w:qFormat/>
    <w:uiPriority w:val="0"/>
    <w:pPr>
      <w:spacing w:after="120"/>
      <w:ind w:left="420" w:leftChars="200"/>
      <w:jc w:val="left"/>
    </w:pPr>
    <w:rPr>
      <w:rFonts w:ascii="仿宋_GB2312" w:hAnsi="宋体" w:eastAsia="仿宋_GB2312" w:cs="Times New Roman"/>
      <w:position w:val="-24"/>
      <w:sz w:val="30"/>
      <w:szCs w:val="20"/>
    </w:rPr>
  </w:style>
  <w:style w:type="paragraph" w:styleId="11">
    <w:name w:val="toc 5"/>
    <w:basedOn w:val="1"/>
    <w:next w:val="1"/>
    <w:unhideWhenUsed/>
    <w:qFormat/>
    <w:uiPriority w:val="39"/>
    <w:pPr>
      <w:ind w:left="1680" w:leftChars="800"/>
    </w:pPr>
    <w:rPr>
      <w:szCs w:val="22"/>
    </w:rPr>
  </w:style>
  <w:style w:type="paragraph" w:styleId="12">
    <w:name w:val="toc 3"/>
    <w:basedOn w:val="1"/>
    <w:next w:val="1"/>
    <w:unhideWhenUsed/>
    <w:qFormat/>
    <w:uiPriority w:val="39"/>
    <w:pPr>
      <w:widowControl/>
      <w:ind w:left="400" w:leftChars="400"/>
      <w:jc w:val="left"/>
    </w:pPr>
    <w:rPr>
      <w:rFonts w:ascii="Times New Roman" w:hAnsi="Times New Roman" w:eastAsia="宋体" w:cs="Times New Roman"/>
      <w:kern w:val="0"/>
      <w:sz w:val="28"/>
      <w:szCs w:val="22"/>
    </w:rPr>
  </w:style>
  <w:style w:type="paragraph" w:styleId="13">
    <w:name w:val="toc 8"/>
    <w:basedOn w:val="1"/>
    <w:next w:val="1"/>
    <w:unhideWhenUsed/>
    <w:qFormat/>
    <w:uiPriority w:val="39"/>
    <w:pPr>
      <w:ind w:left="2940" w:leftChars="1400"/>
    </w:pPr>
    <w:rPr>
      <w:szCs w:val="22"/>
    </w:rPr>
  </w:style>
  <w:style w:type="paragraph" w:styleId="14">
    <w:name w:val="Date"/>
    <w:basedOn w:val="1"/>
    <w:next w:val="1"/>
    <w:link w:val="41"/>
    <w:qFormat/>
    <w:uiPriority w:val="0"/>
    <w:pPr>
      <w:ind w:left="100" w:leftChars="2500"/>
    </w:p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53"/>
    <w:qFormat/>
    <w:uiPriority w:val="0"/>
    <w:rPr>
      <w:sz w:val="18"/>
      <w:szCs w:val="18"/>
    </w:rPr>
  </w:style>
  <w:style w:type="paragraph" w:styleId="17">
    <w:name w:val="footer"/>
    <w:basedOn w:val="1"/>
    <w:link w:val="40"/>
    <w:qFormat/>
    <w:uiPriority w:val="99"/>
    <w:pPr>
      <w:pBdr>
        <w:top w:val="single" w:color="auto" w:sz="4" w:space="1"/>
      </w:pBdr>
      <w:tabs>
        <w:tab w:val="left" w:pos="4153"/>
        <w:tab w:val="right" w:pos="8306"/>
      </w:tabs>
      <w:snapToGrid w:val="0"/>
    </w:pPr>
    <w:rPr>
      <w:rFonts w:eastAsia="宋体"/>
      <w:sz w:val="18"/>
      <w:szCs w:val="18"/>
    </w:rPr>
  </w:style>
  <w:style w:type="paragraph" w:styleId="18">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pPr>
    <w:rPr>
      <w:rFonts w:ascii="Times New Roman" w:hAnsi="Times New Roman" w:eastAsia="宋体" w:cs="Times New Roman"/>
      <w:b/>
      <w:kern w:val="0"/>
      <w:sz w:val="28"/>
      <w:szCs w:val="22"/>
    </w:rPr>
  </w:style>
  <w:style w:type="paragraph" w:styleId="20">
    <w:name w:val="toc 4"/>
    <w:basedOn w:val="1"/>
    <w:next w:val="1"/>
    <w:unhideWhenUsed/>
    <w:qFormat/>
    <w:uiPriority w:val="39"/>
    <w:pPr>
      <w:ind w:left="1260" w:leftChars="600"/>
    </w:pPr>
    <w:rPr>
      <w:szCs w:val="22"/>
    </w:rPr>
  </w:style>
  <w:style w:type="paragraph" w:styleId="21">
    <w:name w:val="toc 6"/>
    <w:basedOn w:val="1"/>
    <w:next w:val="1"/>
    <w:unhideWhenUsed/>
    <w:qFormat/>
    <w:uiPriority w:val="39"/>
    <w:pPr>
      <w:ind w:left="2100" w:leftChars="1000"/>
    </w:pPr>
    <w:rPr>
      <w:szCs w:val="22"/>
    </w:rPr>
  </w:style>
  <w:style w:type="paragraph" w:styleId="22">
    <w:name w:val="Body Text Indent 3"/>
    <w:basedOn w:val="1"/>
    <w:link w:val="44"/>
    <w:qFormat/>
    <w:uiPriority w:val="0"/>
    <w:pPr>
      <w:spacing w:after="120" w:line="360" w:lineRule="auto"/>
      <w:ind w:left="420" w:leftChars="200"/>
    </w:pPr>
    <w:rPr>
      <w:rFonts w:ascii="Calibri" w:hAnsi="Calibri" w:eastAsia="宋体" w:cs="Times New Roman"/>
      <w:sz w:val="16"/>
      <w:szCs w:val="16"/>
    </w:rPr>
  </w:style>
  <w:style w:type="paragraph" w:styleId="23">
    <w:name w:val="toc 2"/>
    <w:basedOn w:val="1"/>
    <w:next w:val="1"/>
    <w:qFormat/>
    <w:uiPriority w:val="39"/>
    <w:pPr>
      <w:ind w:left="200" w:leftChars="200"/>
    </w:pPr>
    <w:rPr>
      <w:rFonts w:ascii="Times New Roman" w:hAnsi="Times New Roman" w:eastAsia="宋体"/>
      <w:sz w:val="28"/>
    </w:rPr>
  </w:style>
  <w:style w:type="paragraph" w:styleId="24">
    <w:name w:val="toc 9"/>
    <w:basedOn w:val="1"/>
    <w:next w:val="1"/>
    <w:unhideWhenUsed/>
    <w:qFormat/>
    <w:uiPriority w:val="39"/>
    <w:pPr>
      <w:ind w:left="3360" w:leftChars="1600"/>
    </w:pPr>
    <w:rPr>
      <w:szCs w:val="22"/>
    </w:rPr>
  </w:style>
  <w:style w:type="paragraph" w:styleId="2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6">
    <w:name w:val="Title"/>
    <w:basedOn w:val="1"/>
    <w:next w:val="1"/>
    <w:link w:val="59"/>
    <w:qFormat/>
    <w:uiPriority w:val="0"/>
    <w:pPr>
      <w:spacing w:before="240" w:after="60"/>
      <w:jc w:val="center"/>
      <w:outlineLvl w:val="0"/>
    </w:pPr>
    <w:rPr>
      <w:rFonts w:asciiTheme="majorHAnsi" w:hAnsiTheme="majorHAnsi" w:eastAsiaTheme="majorEastAsia" w:cstheme="majorBidi"/>
      <w:b/>
      <w:bCs/>
      <w:sz w:val="32"/>
      <w:szCs w:val="32"/>
    </w:rPr>
  </w:style>
  <w:style w:type="paragraph" w:styleId="27">
    <w:name w:val="annotation subject"/>
    <w:basedOn w:val="8"/>
    <w:next w:val="8"/>
    <w:link w:val="52"/>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Hyperlink"/>
    <w:basedOn w:val="30"/>
    <w:qFormat/>
    <w:uiPriority w:val="99"/>
    <w:rPr>
      <w:color w:val="0000FF"/>
      <w:u w:val="single"/>
    </w:rPr>
  </w:style>
  <w:style w:type="character" w:styleId="33">
    <w:name w:val="annotation reference"/>
    <w:basedOn w:val="30"/>
    <w:qFormat/>
    <w:uiPriority w:val="0"/>
    <w:rPr>
      <w:sz w:val="21"/>
      <w:szCs w:val="21"/>
    </w:rPr>
  </w:style>
  <w:style w:type="paragraph" w:customStyle="1" w:styleId="34">
    <w:name w:val="段落编号"/>
    <w:basedOn w:val="15"/>
    <w:qFormat/>
    <w:uiPriority w:val="0"/>
    <w:pPr>
      <w:numPr>
        <w:ilvl w:val="0"/>
        <w:numId w:val="1"/>
      </w:numPr>
      <w:adjustRightInd w:val="0"/>
      <w:spacing w:before="60" w:after="60" w:line="500" w:lineRule="exact"/>
      <w:ind w:left="0" w:leftChars="0"/>
      <w:textAlignment w:val="baseline"/>
    </w:pPr>
    <w:rPr>
      <w:rFonts w:ascii="宋体" w:hAnsi="Times New Roman" w:eastAsia="宋体"/>
      <w:spacing w:val="6"/>
      <w:kern w:val="0"/>
      <w:sz w:val="28"/>
    </w:rPr>
  </w:style>
  <w:style w:type="character" w:customStyle="1" w:styleId="35">
    <w:name w:val="正文文本缩进 字符"/>
    <w:basedOn w:val="30"/>
    <w:link w:val="10"/>
    <w:qFormat/>
    <w:uiPriority w:val="0"/>
    <w:rPr>
      <w:rFonts w:ascii="仿宋_GB2312" w:hAnsi="宋体" w:eastAsia="仿宋_GB2312"/>
      <w:kern w:val="2"/>
      <w:position w:val="-24"/>
      <w:sz w:val="30"/>
    </w:rPr>
  </w:style>
  <w:style w:type="paragraph" w:customStyle="1" w:styleId="36">
    <w:name w:val="1名"/>
    <w:basedOn w:val="1"/>
    <w:qFormat/>
    <w:uiPriority w:val="0"/>
    <w:pPr>
      <w:spacing w:before="120"/>
    </w:pPr>
    <w:rPr>
      <w:rFonts w:ascii="宋体" w:hAnsi="Times New Roman" w:eastAsia="宋体" w:cs="Times New Roman"/>
      <w:sz w:val="28"/>
      <w:szCs w:val="20"/>
    </w:rPr>
  </w:style>
  <w:style w:type="paragraph" w:customStyle="1" w:styleId="37">
    <w:name w:val="表格标题"/>
    <w:basedOn w:val="7"/>
    <w:qFormat/>
    <w:uiPriority w:val="0"/>
    <w:pPr>
      <w:ind w:firstLine="0" w:firstLineChars="0"/>
    </w:pPr>
    <w:rPr>
      <w:rFonts w:ascii="宋体" w:hAnsi="宋体" w:eastAsia="宋体" w:cs="Times New Roman"/>
      <w:sz w:val="28"/>
      <w:szCs w:val="24"/>
    </w:rPr>
  </w:style>
  <w:style w:type="character" w:customStyle="1" w:styleId="38">
    <w:name w:val="font11"/>
    <w:basedOn w:val="30"/>
    <w:qFormat/>
    <w:uiPriority w:val="0"/>
    <w:rPr>
      <w:rFonts w:hint="eastAsia" w:ascii="宋体" w:hAnsi="宋体" w:eastAsia="宋体"/>
      <w:color w:val="000000"/>
      <w:sz w:val="18"/>
      <w:szCs w:val="18"/>
      <w:u w:val="none"/>
    </w:rPr>
  </w:style>
  <w:style w:type="character" w:customStyle="1" w:styleId="39">
    <w:name w:val="页眉 字符"/>
    <w:basedOn w:val="30"/>
    <w:link w:val="18"/>
    <w:qFormat/>
    <w:uiPriority w:val="0"/>
    <w:rPr>
      <w:rFonts w:asciiTheme="minorHAnsi" w:hAnsiTheme="minorHAnsi" w:eastAsiaTheme="minorEastAsia" w:cstheme="minorBidi"/>
      <w:kern w:val="2"/>
      <w:sz w:val="18"/>
      <w:szCs w:val="18"/>
    </w:rPr>
  </w:style>
  <w:style w:type="character" w:customStyle="1" w:styleId="40">
    <w:name w:val="页脚 字符"/>
    <w:basedOn w:val="30"/>
    <w:link w:val="17"/>
    <w:qFormat/>
    <w:uiPriority w:val="99"/>
    <w:rPr>
      <w:rFonts w:asciiTheme="minorHAnsi" w:hAnsiTheme="minorHAnsi" w:cstheme="minorBidi"/>
      <w:kern w:val="2"/>
      <w:sz w:val="18"/>
      <w:szCs w:val="18"/>
    </w:rPr>
  </w:style>
  <w:style w:type="character" w:customStyle="1" w:styleId="41">
    <w:name w:val="日期 字符"/>
    <w:basedOn w:val="30"/>
    <w:link w:val="14"/>
    <w:qFormat/>
    <w:uiPriority w:val="0"/>
    <w:rPr>
      <w:rFonts w:asciiTheme="minorHAnsi" w:hAnsiTheme="minorHAnsi" w:eastAsiaTheme="minorEastAsia" w:cstheme="minorBidi"/>
      <w:kern w:val="2"/>
      <w:sz w:val="21"/>
      <w:szCs w:val="24"/>
    </w:rPr>
  </w:style>
  <w:style w:type="character" w:customStyle="1" w:styleId="42">
    <w:name w:val="标题 4 字符"/>
    <w:basedOn w:val="30"/>
    <w:link w:val="5"/>
    <w:qFormat/>
    <w:uiPriority w:val="0"/>
    <w:rPr>
      <w:rFonts w:ascii="宋体" w:hAnsi="宋体" w:cstheme="majorBidi"/>
      <w:b/>
      <w:bCs/>
      <w:kern w:val="2"/>
      <w:sz w:val="28"/>
      <w:szCs w:val="28"/>
    </w:rPr>
  </w:style>
  <w:style w:type="character" w:customStyle="1" w:styleId="43">
    <w:name w:val="正文缩进 字符"/>
    <w:link w:val="7"/>
    <w:qFormat/>
    <w:uiPriority w:val="0"/>
    <w:rPr>
      <w:rFonts w:ascii="Arial" w:hAnsi="Arial" w:eastAsiaTheme="minorEastAsia" w:cstheme="minorBidi"/>
      <w:kern w:val="2"/>
      <w:sz w:val="24"/>
      <w:szCs w:val="21"/>
    </w:rPr>
  </w:style>
  <w:style w:type="character" w:customStyle="1" w:styleId="44">
    <w:name w:val="正文文本缩进 3 字符"/>
    <w:basedOn w:val="30"/>
    <w:link w:val="22"/>
    <w:qFormat/>
    <w:uiPriority w:val="0"/>
    <w:rPr>
      <w:rFonts w:ascii="Calibri" w:hAnsi="Calibri"/>
      <w:kern w:val="2"/>
      <w:sz w:val="16"/>
      <w:szCs w:val="16"/>
    </w:rPr>
  </w:style>
  <w:style w:type="paragraph" w:styleId="45">
    <w:name w:val="List Paragraph"/>
    <w:basedOn w:val="1"/>
    <w:qFormat/>
    <w:uiPriority w:val="99"/>
    <w:pPr>
      <w:ind w:firstLine="420" w:firstLineChars="200"/>
    </w:pPr>
  </w:style>
  <w:style w:type="character" w:customStyle="1" w:styleId="46">
    <w:name w:val="font41"/>
    <w:basedOn w:val="30"/>
    <w:qFormat/>
    <w:uiPriority w:val="0"/>
    <w:rPr>
      <w:rFonts w:hint="default" w:ascii="Times New Roman" w:hAnsi="Times New Roman" w:cs="Times New Roman"/>
      <w:color w:val="000000"/>
      <w:sz w:val="24"/>
      <w:szCs w:val="24"/>
      <w:u w:val="none"/>
    </w:rPr>
  </w:style>
  <w:style w:type="character" w:customStyle="1" w:styleId="47">
    <w:name w:val="font51"/>
    <w:basedOn w:val="30"/>
    <w:qFormat/>
    <w:uiPriority w:val="0"/>
    <w:rPr>
      <w:rFonts w:hint="eastAsia" w:ascii="宋体" w:hAnsi="宋体" w:eastAsia="宋体"/>
      <w:color w:val="000000"/>
      <w:sz w:val="24"/>
      <w:szCs w:val="24"/>
      <w:u w:val="none"/>
    </w:rPr>
  </w:style>
  <w:style w:type="character" w:customStyle="1" w:styleId="48">
    <w:name w:val="font01"/>
    <w:basedOn w:val="30"/>
    <w:qFormat/>
    <w:uiPriority w:val="0"/>
    <w:rPr>
      <w:rFonts w:hint="default" w:ascii="Times New Roman" w:hAnsi="Times New Roman" w:cs="Times New Roman"/>
      <w:color w:val="000000"/>
      <w:sz w:val="24"/>
      <w:szCs w:val="24"/>
      <w:u w:val="none"/>
      <w:vertAlign w:val="superscript"/>
    </w:rPr>
  </w:style>
  <w:style w:type="character" w:customStyle="1" w:styleId="49">
    <w:name w:val="font31"/>
    <w:basedOn w:val="30"/>
    <w:qFormat/>
    <w:uiPriority w:val="0"/>
    <w:rPr>
      <w:rFonts w:hint="default" w:ascii="Times New Roman" w:hAnsi="Times New Roman" w:cs="Times New Roman"/>
      <w:color w:val="000000"/>
      <w:sz w:val="24"/>
      <w:szCs w:val="24"/>
      <w:u w:val="none"/>
    </w:rPr>
  </w:style>
  <w:style w:type="character" w:customStyle="1" w:styleId="50">
    <w:name w:val="font21"/>
    <w:basedOn w:val="30"/>
    <w:qFormat/>
    <w:uiPriority w:val="0"/>
    <w:rPr>
      <w:rFonts w:hint="default" w:ascii="Times New Roman" w:hAnsi="Times New Roman" w:cs="Times New Roman"/>
      <w:b/>
      <w:bCs/>
      <w:color w:val="FF0000"/>
      <w:sz w:val="24"/>
      <w:szCs w:val="24"/>
      <w:u w:val="none"/>
    </w:rPr>
  </w:style>
  <w:style w:type="character" w:customStyle="1" w:styleId="51">
    <w:name w:val="批注文字 字符"/>
    <w:basedOn w:val="30"/>
    <w:link w:val="8"/>
    <w:qFormat/>
    <w:uiPriority w:val="0"/>
    <w:rPr>
      <w:rFonts w:asciiTheme="minorHAnsi" w:hAnsiTheme="minorHAnsi" w:eastAsiaTheme="minorEastAsia" w:cstheme="minorBidi"/>
      <w:kern w:val="2"/>
      <w:sz w:val="21"/>
      <w:szCs w:val="24"/>
    </w:rPr>
  </w:style>
  <w:style w:type="character" w:customStyle="1" w:styleId="52">
    <w:name w:val="批注主题 字符"/>
    <w:basedOn w:val="51"/>
    <w:link w:val="27"/>
    <w:qFormat/>
    <w:uiPriority w:val="0"/>
    <w:rPr>
      <w:rFonts w:asciiTheme="minorHAnsi" w:hAnsiTheme="minorHAnsi" w:eastAsiaTheme="minorEastAsia" w:cstheme="minorBidi"/>
      <w:b/>
      <w:bCs/>
      <w:kern w:val="2"/>
      <w:sz w:val="21"/>
      <w:szCs w:val="24"/>
    </w:rPr>
  </w:style>
  <w:style w:type="character" w:customStyle="1" w:styleId="53">
    <w:name w:val="批注框文本 字符"/>
    <w:basedOn w:val="30"/>
    <w:link w:val="16"/>
    <w:qFormat/>
    <w:uiPriority w:val="0"/>
    <w:rPr>
      <w:rFonts w:asciiTheme="minorHAnsi" w:hAnsiTheme="minorHAnsi" w:eastAsiaTheme="minorEastAsia" w:cstheme="minorBidi"/>
      <w:kern w:val="2"/>
      <w:sz w:val="18"/>
      <w:szCs w:val="18"/>
    </w:rPr>
  </w:style>
  <w:style w:type="paragraph" w:customStyle="1" w:styleId="54">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6" w:themeColor="accent1" w:themeShade="BF"/>
      <w:kern w:val="0"/>
      <w:szCs w:val="32"/>
    </w:rPr>
  </w:style>
  <w:style w:type="character" w:customStyle="1" w:styleId="55">
    <w:name w:val="未处理的提及1"/>
    <w:basedOn w:val="30"/>
    <w:semiHidden/>
    <w:unhideWhenUsed/>
    <w:qFormat/>
    <w:uiPriority w:val="99"/>
    <w:rPr>
      <w:color w:val="605E5C"/>
      <w:shd w:val="clear" w:color="auto" w:fill="E1DFDD"/>
    </w:rPr>
  </w:style>
  <w:style w:type="character" w:customStyle="1" w:styleId="56">
    <w:name w:val="样式 正文 +"/>
    <w:qFormat/>
    <w:uiPriority w:val="0"/>
    <w:rPr>
      <w:kern w:val="0"/>
      <w:sz w:val="24"/>
    </w:rPr>
  </w:style>
  <w:style w:type="character" w:customStyle="1" w:styleId="57">
    <w:name w:val="正文文本 字符"/>
    <w:basedOn w:val="30"/>
    <w:link w:val="9"/>
    <w:qFormat/>
    <w:uiPriority w:val="99"/>
    <w:rPr>
      <w:rFonts w:ascii="微软雅黑" w:hAnsi="微软雅黑" w:eastAsia="微软雅黑" w:cstheme="minorBidi"/>
      <w:sz w:val="22"/>
      <w:szCs w:val="24"/>
      <w:lang w:eastAsia="en-US"/>
    </w:rPr>
  </w:style>
  <w:style w:type="paragraph" w:customStyle="1" w:styleId="58">
    <w:name w:val="正文文字"/>
    <w:basedOn w:val="1"/>
    <w:qFormat/>
    <w:uiPriority w:val="0"/>
    <w:pPr>
      <w:spacing w:beforeLines="50" w:afterLines="50" w:line="312" w:lineRule="auto"/>
      <w:ind w:firstLine="480" w:firstLineChars="200"/>
    </w:pPr>
    <w:rPr>
      <w:rFonts w:ascii="Calibri" w:hAnsi="Calibri" w:eastAsia="宋体" w:cs="Times New Roman"/>
      <w:sz w:val="24"/>
      <w:szCs w:val="22"/>
    </w:rPr>
  </w:style>
  <w:style w:type="character" w:customStyle="1" w:styleId="59">
    <w:name w:val="标题 字符"/>
    <w:basedOn w:val="30"/>
    <w:link w:val="26"/>
    <w:qFormat/>
    <w:uiPriority w:val="0"/>
    <w:rPr>
      <w:rFonts w:asciiTheme="majorHAnsi" w:hAnsiTheme="majorHAnsi" w:eastAsiaTheme="majorEastAsia" w:cstheme="majorBidi"/>
      <w:b/>
      <w:bCs/>
      <w:kern w:val="2"/>
      <w:sz w:val="32"/>
      <w:szCs w:val="32"/>
    </w:rPr>
  </w:style>
  <w:style w:type="character" w:customStyle="1" w:styleId="60">
    <w:name w:val="标题 1 字符"/>
    <w:basedOn w:val="30"/>
    <w:link w:val="2"/>
    <w:qFormat/>
    <w:uiPriority w:val="0"/>
    <w:rPr>
      <w:rFonts w:hint="eastAsia" w:ascii="黑体" w:hAnsi="宋体" w:eastAsia="黑体" w:cs="黑体"/>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21162</Words>
  <Characters>24061</Characters>
  <Lines>256</Lines>
  <Paragraphs>72</Paragraphs>
  <TotalTime>0</TotalTime>
  <ScaleCrop>false</ScaleCrop>
  <LinksUpToDate>false</LinksUpToDate>
  <CharactersWithSpaces>24247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2022-04-11T01:22:00Z</dcterms:created>
  <dc:creator>Lenovo</dc:creator>
  <cp:lastModifiedBy>gogogo</cp:lastModifiedBy>
  <cp:lastPrinted>2022-06-11T17:32:00Z</cp:lastPrinted>
  <dcterms:modified xsi:type="dcterms:W3CDTF">2025-05-15T15:35:50Z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EA0EC87C961F495E9980E964948542FA_13</vt:lpwstr>
  </property>
</Properties>
</file>