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00" w:lineRule="exact"/>
        <w:jc w:val="center"/>
        <w:textAlignment w:val="auto"/>
        <w:rPr>
          <w:rFonts w:hint="eastAsia" w:eastAsia="方正小标宋简体" w:cs="方正小标宋简体"/>
          <w:sz w:val="36"/>
          <w:szCs w:val="36"/>
          <w:lang w:eastAsia="zh-CN"/>
        </w:rPr>
      </w:pPr>
      <w:r>
        <w:rPr>
          <w:rFonts w:hint="eastAsia" w:eastAsia="方正小标宋简体" w:cs="方正小标宋简体"/>
          <w:sz w:val="36"/>
          <w:szCs w:val="36"/>
          <w:lang w:eastAsia="zh-CN"/>
        </w:rPr>
        <w:t>抚顺</w:t>
      </w:r>
      <w:r>
        <w:rPr>
          <w:rFonts w:hint="eastAsia" w:eastAsia="方正小标宋简体" w:cs="方正小标宋简体"/>
          <w:sz w:val="36"/>
          <w:szCs w:val="36"/>
        </w:rPr>
        <w:t>市非居民瓶装液化石油气供用</w:t>
      </w:r>
      <w:r>
        <w:rPr>
          <w:rFonts w:hint="eastAsia" w:eastAsia="方正小标宋简体" w:cs="方正小标宋简体"/>
          <w:sz w:val="36"/>
          <w:szCs w:val="36"/>
          <w:lang w:eastAsia="zh-CN"/>
        </w:rPr>
        <w:t>气</w:t>
      </w:r>
      <w:r>
        <w:rPr>
          <w:rFonts w:hint="eastAsia" w:eastAsia="方正小标宋简体" w:cs="方正小标宋简体"/>
          <w:sz w:val="36"/>
          <w:szCs w:val="36"/>
        </w:rPr>
        <w:t>合同</w:t>
      </w:r>
      <w:r>
        <w:rPr>
          <w:rFonts w:hint="eastAsia" w:eastAsia="方正小标宋简体" w:cs="方正小标宋简体"/>
          <w:sz w:val="36"/>
          <w:szCs w:val="36"/>
          <w:lang w:eastAsia="zh-CN"/>
        </w:rPr>
        <w:t>（范本）</w:t>
      </w:r>
    </w:p>
    <w:p>
      <w:pPr>
        <w:keepNext w:val="0"/>
        <w:keepLines w:val="0"/>
        <w:pageBreakBefore w:val="0"/>
        <w:kinsoku/>
        <w:overflowPunct/>
        <w:topLinePunct w:val="0"/>
        <w:autoSpaceDE/>
        <w:autoSpaceDN/>
        <w:bidi w:val="0"/>
        <w:adjustRightInd w:val="0"/>
        <w:snapToGrid w:val="0"/>
        <w:spacing w:line="500" w:lineRule="exact"/>
        <w:jc w:val="center"/>
        <w:textAlignment w:val="auto"/>
        <w:rPr>
          <w:rFonts w:eastAsia="黑体" w:cs="黑体"/>
        </w:rPr>
      </w:pPr>
    </w:p>
    <w:p>
      <w:pPr>
        <w:keepNext w:val="0"/>
        <w:keepLines w:val="0"/>
        <w:pageBreakBefore w:val="0"/>
        <w:kinsoku/>
        <w:overflowPunct/>
        <w:topLinePunct w:val="0"/>
        <w:autoSpaceDE/>
        <w:autoSpaceDN/>
        <w:bidi w:val="0"/>
        <w:adjustRightInd w:val="0"/>
        <w:snapToGrid w:val="0"/>
        <w:spacing w:line="440" w:lineRule="exact"/>
        <w:jc w:val="left"/>
        <w:textAlignment w:val="auto"/>
        <w:rPr>
          <w:rFonts w:cs="仿宋_GB2312"/>
          <w:sz w:val="24"/>
          <w:szCs w:val="24"/>
        </w:rPr>
      </w:pPr>
      <w:r>
        <w:rPr>
          <w:rFonts w:hint="eastAsia" w:cs="仿宋_GB2312"/>
          <w:sz w:val="24"/>
          <w:szCs w:val="24"/>
        </w:rPr>
        <w:t>用户名称（以下简称“甲方”）：</w:t>
      </w:r>
      <w:r>
        <w:rPr>
          <w:rFonts w:hint="eastAsia" w:cs="仿宋_GB2312"/>
          <w:sz w:val="24"/>
          <w:szCs w:val="24"/>
          <w:u w:val="single"/>
        </w:rPr>
        <w:t xml:space="preserve">                                  </w:t>
      </w:r>
    </w:p>
    <w:p>
      <w:pPr>
        <w:keepNext w:val="0"/>
        <w:keepLines w:val="0"/>
        <w:pageBreakBefore w:val="0"/>
        <w:kinsoku/>
        <w:overflowPunct/>
        <w:topLinePunct w:val="0"/>
        <w:autoSpaceDE/>
        <w:autoSpaceDN/>
        <w:bidi w:val="0"/>
        <w:adjustRightInd w:val="0"/>
        <w:snapToGrid w:val="0"/>
        <w:spacing w:line="440" w:lineRule="exact"/>
        <w:jc w:val="left"/>
        <w:textAlignment w:val="auto"/>
        <w:rPr>
          <w:rFonts w:cs="仿宋_GB2312"/>
          <w:sz w:val="24"/>
          <w:szCs w:val="24"/>
          <w:u w:val="single"/>
        </w:rPr>
      </w:pPr>
      <w:r>
        <w:rPr>
          <w:rFonts w:hint="eastAsia" w:cs="仿宋_GB2312"/>
          <w:sz w:val="24"/>
          <w:szCs w:val="24"/>
        </w:rPr>
        <w:t>供气企业（以下简称“乙方”）:</w:t>
      </w:r>
      <w:r>
        <w:rPr>
          <w:rFonts w:hint="eastAsia" w:cs="仿宋_GB2312"/>
          <w:sz w:val="24"/>
          <w:szCs w:val="24"/>
          <w:u w:val="single"/>
        </w:rPr>
        <w:t xml:space="preserve">      </w:t>
      </w:r>
      <w:r>
        <w:rPr>
          <w:rFonts w:hint="eastAsia" w:cs="仿宋_GB2312"/>
          <w:sz w:val="24"/>
          <w:szCs w:val="24"/>
          <w:u w:val="single"/>
          <w:lang w:val="en-US" w:eastAsia="zh-CN"/>
        </w:rPr>
        <w:t>（充装站全称）</w:t>
      </w:r>
      <w:r>
        <w:rPr>
          <w:rFonts w:hint="eastAsia" w:cs="仿宋_GB2312"/>
          <w:sz w:val="24"/>
          <w:szCs w:val="24"/>
          <w:u w:val="single"/>
        </w:rPr>
        <w:t xml:space="preserve">                          </w:t>
      </w:r>
    </w:p>
    <w:p>
      <w:pPr>
        <w:keepNext w:val="0"/>
        <w:keepLines w:val="0"/>
        <w:pageBreakBefore w:val="0"/>
        <w:kinsoku/>
        <w:overflowPunct/>
        <w:topLinePunct w:val="0"/>
        <w:autoSpaceDE/>
        <w:autoSpaceDN/>
        <w:bidi w:val="0"/>
        <w:adjustRightInd w:val="0"/>
        <w:snapToGrid w:val="0"/>
        <w:spacing w:line="440" w:lineRule="exact"/>
        <w:jc w:val="left"/>
        <w:textAlignment w:val="auto"/>
        <w:rPr>
          <w:rFonts w:cs="仿宋_GB2312"/>
          <w:sz w:val="24"/>
          <w:szCs w:val="24"/>
        </w:rPr>
      </w:pPr>
      <w:r>
        <w:rPr>
          <w:rFonts w:hint="eastAsia" w:cs="仿宋_GB2312"/>
          <w:sz w:val="24"/>
          <w:szCs w:val="24"/>
        </w:rPr>
        <w:t>燃气经营许可证号：</w:t>
      </w:r>
      <w:r>
        <w:rPr>
          <w:rFonts w:hint="eastAsia" w:cs="仿宋_GB2312"/>
          <w:sz w:val="24"/>
          <w:szCs w:val="24"/>
          <w:u w:val="single"/>
        </w:rPr>
        <w:t xml:space="preserve">                                           </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cs="仿宋_GB2312"/>
          <w:sz w:val="24"/>
          <w:szCs w:val="24"/>
        </w:rPr>
      </w:pPr>
      <w:r>
        <w:rPr>
          <w:rFonts w:hint="eastAsia" w:cs="仿宋_GB2312"/>
          <w:sz w:val="24"/>
          <w:szCs w:val="24"/>
        </w:rPr>
        <w:t>根据</w:t>
      </w:r>
      <w:r>
        <w:rPr>
          <w:rFonts w:hint="eastAsia" w:cs="仿宋_GB2312"/>
          <w:sz w:val="24"/>
          <w:szCs w:val="24"/>
          <w:lang w:eastAsia="zh-CN"/>
        </w:rPr>
        <w:t>《中华人民共和国民法典》</w:t>
      </w:r>
      <w:r>
        <w:rPr>
          <w:rFonts w:hint="eastAsia" w:cs="仿宋_GB2312"/>
          <w:sz w:val="24"/>
          <w:szCs w:val="24"/>
        </w:rPr>
        <w:t>《中华人民共和国安全生产法》《城镇燃气管理条例》《辽宁省城镇燃气管理条例》等法律法规的规定，甲乙双方在自愿、公平和诚信的基础上，订立本合同</w:t>
      </w:r>
      <w:bookmarkStart w:id="0" w:name="_GoBack"/>
      <w:bookmarkEnd w:id="0"/>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eastAsia="黑体" w:cs="黑体"/>
          <w:sz w:val="24"/>
          <w:szCs w:val="24"/>
        </w:rPr>
      </w:pPr>
      <w:r>
        <w:rPr>
          <w:rFonts w:hint="eastAsia" w:eastAsia="黑体" w:cs="黑体"/>
          <w:sz w:val="24"/>
          <w:szCs w:val="24"/>
        </w:rPr>
        <w:t>第一条  用气地点</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cs="仿宋_GB2312"/>
          <w:sz w:val="24"/>
          <w:szCs w:val="24"/>
          <w:u w:val="single"/>
        </w:rPr>
      </w:pPr>
      <w:r>
        <w:rPr>
          <w:rFonts w:hint="eastAsia" w:eastAsia="楷体_GB2312" w:cs="楷体_GB2312"/>
          <w:sz w:val="24"/>
          <w:szCs w:val="24"/>
        </w:rPr>
        <w:t>1.用气地点</w:t>
      </w:r>
      <w:r>
        <w:rPr>
          <w:rFonts w:hint="eastAsia" w:cs="仿宋_GB2312"/>
          <w:color w:val="404040"/>
          <w:sz w:val="24"/>
          <w:szCs w:val="24"/>
        </w:rPr>
        <w:t>（地点填写到区、街</w:t>
      </w:r>
      <w:r>
        <w:rPr>
          <w:rFonts w:hint="eastAsia" w:cs="仿宋_GB2312"/>
          <w:color w:val="404040"/>
          <w:sz w:val="24"/>
          <w:szCs w:val="24"/>
          <w:lang w:eastAsia="zh-CN"/>
        </w:rPr>
        <w:t>道</w:t>
      </w:r>
      <w:r>
        <w:rPr>
          <w:rFonts w:hint="eastAsia" w:cs="仿宋_GB2312"/>
          <w:color w:val="404040"/>
          <w:sz w:val="24"/>
          <w:szCs w:val="24"/>
          <w:lang w:val="en-US" w:eastAsia="zh-CN"/>
        </w:rPr>
        <w:t>/</w:t>
      </w:r>
      <w:r>
        <w:rPr>
          <w:rFonts w:hint="eastAsia" w:cs="仿宋_GB2312"/>
          <w:color w:val="404040"/>
          <w:sz w:val="24"/>
          <w:szCs w:val="24"/>
        </w:rPr>
        <w:t>乡镇，楼门牌号或农村的院落号）：</w:t>
      </w:r>
      <w:r>
        <w:rPr>
          <w:rFonts w:hint="eastAsia" w:cs="仿宋_GB2312"/>
          <w:sz w:val="24"/>
          <w:szCs w:val="24"/>
          <w:u w:val="single"/>
        </w:rPr>
        <w:t xml:space="preserve">                                                     </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hint="default" w:eastAsia="楷体_GB2312" w:cs="楷体_GB2312"/>
          <w:sz w:val="24"/>
          <w:szCs w:val="24"/>
          <w:u w:val="single"/>
          <w:lang w:val="en-US" w:eastAsia="zh-CN"/>
        </w:rPr>
      </w:pPr>
      <w:r>
        <w:rPr>
          <w:rFonts w:hint="eastAsia" w:eastAsia="楷体_GB2312" w:cs="楷体_GB2312"/>
          <w:sz w:val="24"/>
          <w:szCs w:val="24"/>
          <w:u w:val="single"/>
          <w:lang w:val="en-US" w:eastAsia="zh-CN"/>
        </w:rPr>
        <w:t xml:space="preserve">                                                   </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eastAsia="楷体_GB2312" w:cs="楷体_GB2312"/>
          <w:color w:val="FF0000"/>
          <w:sz w:val="24"/>
          <w:szCs w:val="24"/>
        </w:rPr>
      </w:pPr>
      <w:r>
        <w:rPr>
          <w:rFonts w:hint="eastAsia" w:eastAsia="楷体_GB2312" w:cs="楷体_GB2312"/>
          <w:sz w:val="24"/>
          <w:szCs w:val="24"/>
        </w:rPr>
        <w:t>2.用户性质：□ 餐饮  □ 采暖  □ 工业  □ 其他</w:t>
      </w:r>
      <w:r>
        <w:rPr>
          <w:rFonts w:hint="eastAsia" w:eastAsia="楷体_GB2312" w:cs="楷体_GB2312"/>
          <w:sz w:val="24"/>
          <w:szCs w:val="24"/>
          <w:u w:val="single"/>
        </w:rPr>
        <w:t xml:space="preserve">           </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eastAsia="黑体" w:cs="黑体"/>
          <w:sz w:val="24"/>
          <w:szCs w:val="24"/>
        </w:rPr>
      </w:pPr>
      <w:r>
        <w:rPr>
          <w:rFonts w:hint="eastAsia" w:eastAsia="黑体" w:cs="黑体"/>
          <w:sz w:val="24"/>
          <w:szCs w:val="24"/>
        </w:rPr>
        <w:t>第二条  气瓶规格、数量和瓶组气化间</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hint="eastAsia" w:cs="仿宋_GB2312"/>
          <w:sz w:val="24"/>
          <w:szCs w:val="24"/>
        </w:rPr>
      </w:pPr>
      <w:r>
        <w:rPr>
          <w:rFonts w:hint="eastAsia" w:cs="仿宋_GB2312"/>
          <w:sz w:val="24"/>
          <w:szCs w:val="24"/>
        </w:rPr>
        <w:t>1.乙方向甲方提供的气瓶应符合国家和本市气瓶安全技术规范要求，且在检验周期内。甲方须向乙方支付气瓶押金，本合同终止后甲方将气瓶退还乙方，乙方向甲方退还气瓶押金。</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cs="仿宋_GB2312"/>
          <w:sz w:val="24"/>
          <w:szCs w:val="24"/>
        </w:rPr>
      </w:pPr>
      <w:r>
        <w:rPr>
          <w:rFonts w:hint="eastAsia" w:cs="仿宋_GB2312"/>
          <w:sz w:val="24"/>
          <w:szCs w:val="24"/>
        </w:rPr>
        <w:t>乙方向甲方提供气瓶数量、规格和押金标准见下表：</w:t>
      </w:r>
    </w:p>
    <w:tbl>
      <w:tblPr>
        <w:tblStyle w:val="7"/>
        <w:tblW w:w="7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7"/>
        <w:gridCol w:w="3093"/>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27"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rPr>
            </w:pPr>
            <w:r>
              <w:rPr>
                <w:rFonts w:hint="eastAsia" w:eastAsia="黑体" w:cs="黑体"/>
                <w:sz w:val="24"/>
                <w:szCs w:val="24"/>
              </w:rPr>
              <w:t>气瓶净含量类型</w:t>
            </w:r>
          </w:p>
        </w:tc>
        <w:tc>
          <w:tcPr>
            <w:tcW w:w="3093"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rPr>
            </w:pPr>
            <w:r>
              <w:rPr>
                <w:rFonts w:hint="eastAsia" w:eastAsia="黑体" w:cs="黑体"/>
                <w:sz w:val="24"/>
                <w:szCs w:val="24"/>
              </w:rPr>
              <w:t>气瓶数量（只）</w:t>
            </w:r>
          </w:p>
        </w:tc>
        <w:tc>
          <w:tcPr>
            <w:tcW w:w="2490"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rPr>
            </w:pPr>
            <w:r>
              <w:rPr>
                <w:rFonts w:hint="eastAsia" w:eastAsia="黑体" w:cs="黑体"/>
                <w:sz w:val="24"/>
                <w:szCs w:val="24"/>
              </w:rPr>
              <w:t>押金标准（元/只）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27"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宋体" w:cs="宋体"/>
                <w:sz w:val="24"/>
                <w:szCs w:val="24"/>
              </w:rPr>
            </w:pPr>
            <w:r>
              <w:rPr>
                <w:rFonts w:hint="eastAsia" w:eastAsia="宋体" w:cs="宋体"/>
                <w:sz w:val="24"/>
                <w:szCs w:val="24"/>
              </w:rPr>
              <w:t>15公斤气瓶</w:t>
            </w:r>
          </w:p>
        </w:tc>
        <w:tc>
          <w:tcPr>
            <w:tcW w:w="3093"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cs="仿宋_GB2312"/>
                <w:sz w:val="24"/>
                <w:szCs w:val="24"/>
              </w:rPr>
            </w:pPr>
          </w:p>
        </w:tc>
        <w:tc>
          <w:tcPr>
            <w:tcW w:w="2490"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27"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sz w:val="24"/>
                <w:szCs w:val="24"/>
              </w:rPr>
            </w:pPr>
            <w:r>
              <w:rPr>
                <w:rFonts w:hint="eastAsia" w:eastAsia="宋体" w:cs="宋体"/>
                <w:sz w:val="24"/>
                <w:szCs w:val="24"/>
              </w:rPr>
              <w:t>50公斤气瓶</w:t>
            </w:r>
          </w:p>
        </w:tc>
        <w:tc>
          <w:tcPr>
            <w:tcW w:w="3093"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cs="仿宋_GB2312"/>
                <w:sz w:val="24"/>
                <w:szCs w:val="24"/>
              </w:rPr>
            </w:pPr>
          </w:p>
        </w:tc>
        <w:tc>
          <w:tcPr>
            <w:tcW w:w="2490"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927" w:type="dxa"/>
          </w:tcPr>
          <w:p>
            <w:pPr>
              <w:keepNext w:val="0"/>
              <w:keepLines w:val="0"/>
              <w:pageBreakBefore w:val="0"/>
              <w:kinsoku/>
              <w:overflowPunct/>
              <w:topLinePunct w:val="0"/>
              <w:autoSpaceDE/>
              <w:autoSpaceDN/>
              <w:bidi w:val="0"/>
              <w:adjustRightInd w:val="0"/>
              <w:snapToGrid w:val="0"/>
              <w:spacing w:line="440" w:lineRule="exact"/>
              <w:jc w:val="left"/>
              <w:textAlignment w:val="auto"/>
              <w:rPr>
                <w:rFonts w:eastAsia="宋体" w:cs="宋体"/>
                <w:sz w:val="24"/>
                <w:szCs w:val="24"/>
              </w:rPr>
            </w:pPr>
          </w:p>
        </w:tc>
        <w:tc>
          <w:tcPr>
            <w:tcW w:w="3093" w:type="dxa"/>
          </w:tcPr>
          <w:p>
            <w:pPr>
              <w:keepNext w:val="0"/>
              <w:keepLines w:val="0"/>
              <w:pageBreakBefore w:val="0"/>
              <w:tabs>
                <w:tab w:val="center" w:pos="986"/>
              </w:tabs>
              <w:kinsoku/>
              <w:overflowPunct/>
              <w:topLinePunct w:val="0"/>
              <w:autoSpaceDE/>
              <w:autoSpaceDN/>
              <w:bidi w:val="0"/>
              <w:adjustRightInd w:val="0"/>
              <w:snapToGrid w:val="0"/>
              <w:spacing w:line="440" w:lineRule="exact"/>
              <w:jc w:val="left"/>
              <w:textAlignment w:val="auto"/>
              <w:rPr>
                <w:rFonts w:cs="仿宋_GB2312"/>
                <w:sz w:val="24"/>
                <w:szCs w:val="24"/>
              </w:rPr>
            </w:pPr>
          </w:p>
        </w:tc>
        <w:tc>
          <w:tcPr>
            <w:tcW w:w="2490" w:type="dxa"/>
          </w:tcPr>
          <w:p>
            <w:pPr>
              <w:keepNext w:val="0"/>
              <w:keepLines w:val="0"/>
              <w:pageBreakBefore w:val="0"/>
              <w:kinsoku/>
              <w:overflowPunct/>
              <w:topLinePunct w:val="0"/>
              <w:autoSpaceDE/>
              <w:autoSpaceDN/>
              <w:bidi w:val="0"/>
              <w:adjustRightInd w:val="0"/>
              <w:snapToGrid w:val="0"/>
              <w:spacing w:line="440" w:lineRule="exact"/>
              <w:jc w:val="left"/>
              <w:textAlignment w:val="auto"/>
              <w:rPr>
                <w:rFonts w:cs="仿宋_GB2312"/>
                <w:sz w:val="24"/>
                <w:szCs w:val="24"/>
              </w:rPr>
            </w:pPr>
          </w:p>
        </w:tc>
      </w:tr>
    </w:tbl>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eastAsia="楷体_GB2312" w:cs="楷体_GB2312"/>
          <w:sz w:val="24"/>
          <w:szCs w:val="24"/>
        </w:rPr>
      </w:pPr>
      <w:r>
        <w:rPr>
          <w:rFonts w:hint="eastAsia" w:eastAsia="楷体_GB2312" w:cs="楷体_GB2312"/>
          <w:sz w:val="24"/>
          <w:szCs w:val="24"/>
        </w:rPr>
        <w:t>2.瓶组气化间</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cs="黑体"/>
          <w:sz w:val="24"/>
          <w:szCs w:val="24"/>
        </w:rPr>
      </w:pPr>
      <w:r>
        <w:rPr>
          <w:rFonts w:hint="eastAsia" w:cs="黑体"/>
          <w:sz w:val="24"/>
          <w:szCs w:val="24"/>
        </w:rPr>
        <w:t xml:space="preserve">（1）甲方用气方式为：  </w:t>
      </w:r>
      <w:r>
        <w:rPr>
          <w:rFonts w:hint="eastAsia" w:cs="仿宋_GB2312"/>
          <w:sz w:val="24"/>
          <w:szCs w:val="24"/>
        </w:rPr>
        <w:t>□</w:t>
      </w:r>
      <w:r>
        <w:rPr>
          <w:rFonts w:hint="eastAsia" w:cs="黑体"/>
          <w:sz w:val="24"/>
          <w:szCs w:val="24"/>
        </w:rPr>
        <w:t xml:space="preserve">单瓶供气      </w:t>
      </w:r>
      <w:r>
        <w:rPr>
          <w:rFonts w:hint="eastAsia" w:cs="仿宋_GB2312"/>
          <w:sz w:val="24"/>
          <w:szCs w:val="24"/>
        </w:rPr>
        <w:t>□</w:t>
      </w:r>
      <w:r>
        <w:rPr>
          <w:rFonts w:hint="eastAsia" w:cs="黑体"/>
          <w:sz w:val="24"/>
          <w:szCs w:val="24"/>
        </w:rPr>
        <w:t>瓶组供气</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cs="仿宋_GB2312"/>
          <w:sz w:val="24"/>
          <w:szCs w:val="24"/>
        </w:rPr>
      </w:pPr>
      <w:r>
        <w:rPr>
          <w:rFonts w:hint="eastAsia" w:eastAsia="黑体" w:cs="黑体"/>
          <w:sz w:val="24"/>
          <w:szCs w:val="24"/>
        </w:rPr>
        <w:t>第三条  户内燃气安全防护装置安装情况</w:t>
      </w:r>
    </w:p>
    <w:tbl>
      <w:tblPr>
        <w:tblStyle w:val="7"/>
        <w:tblW w:w="7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8"/>
        <w:gridCol w:w="1800"/>
        <w:gridCol w:w="3097"/>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58" w:type="dxa"/>
            <w:tcBorders>
              <w:tl2br w:val="single" w:color="auto" w:sz="4" w:space="0"/>
            </w:tcBorders>
          </w:tcPr>
          <w:p>
            <w:pPr>
              <w:keepNext w:val="0"/>
              <w:keepLines w:val="0"/>
              <w:pageBreakBefore w:val="0"/>
              <w:kinsoku/>
              <w:overflowPunct/>
              <w:topLinePunct w:val="0"/>
              <w:autoSpaceDE/>
              <w:autoSpaceDN/>
              <w:bidi w:val="0"/>
              <w:adjustRightInd w:val="0"/>
              <w:snapToGrid w:val="0"/>
              <w:spacing w:line="440" w:lineRule="exact"/>
              <w:ind w:firstLine="720" w:firstLineChars="300"/>
              <w:jc w:val="left"/>
              <w:textAlignment w:val="auto"/>
              <w:rPr>
                <w:rFonts w:eastAsia="黑体" w:cs="黑体"/>
                <w:sz w:val="24"/>
                <w:szCs w:val="24"/>
              </w:rPr>
            </w:pPr>
            <w:r>
              <w:rPr>
                <w:rFonts w:hint="eastAsia" w:eastAsia="黑体" w:cs="黑体"/>
                <w:sz w:val="24"/>
                <w:szCs w:val="24"/>
              </w:rPr>
              <w:t>设备名称</w:t>
            </w:r>
          </w:p>
          <w:p>
            <w:pPr>
              <w:keepNext w:val="0"/>
              <w:keepLines w:val="0"/>
              <w:pageBreakBefore w:val="0"/>
              <w:kinsoku/>
              <w:overflowPunct/>
              <w:topLinePunct w:val="0"/>
              <w:autoSpaceDE/>
              <w:autoSpaceDN/>
              <w:bidi w:val="0"/>
              <w:adjustRightInd w:val="0"/>
              <w:snapToGrid w:val="0"/>
              <w:spacing w:line="440" w:lineRule="exact"/>
              <w:jc w:val="left"/>
              <w:textAlignment w:val="auto"/>
              <w:rPr>
                <w:rFonts w:eastAsia="黑体" w:cs="黑体"/>
                <w:sz w:val="24"/>
                <w:szCs w:val="24"/>
                <w:u w:val="single"/>
              </w:rPr>
            </w:pPr>
            <w:r>
              <w:rPr>
                <w:rFonts w:hint="eastAsia" w:eastAsia="黑体" w:cs="黑体"/>
                <w:sz w:val="24"/>
                <w:szCs w:val="24"/>
              </w:rPr>
              <w:t>场 所</w:t>
            </w:r>
          </w:p>
        </w:tc>
        <w:tc>
          <w:tcPr>
            <w:tcW w:w="1800"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u w:val="single"/>
              </w:rPr>
            </w:pPr>
            <w:r>
              <w:rPr>
                <w:rFonts w:hint="eastAsia" w:eastAsia="黑体" w:cs="黑体"/>
                <w:sz w:val="24"/>
                <w:szCs w:val="24"/>
              </w:rPr>
              <w:t>燃气泄漏报警器</w:t>
            </w:r>
          </w:p>
        </w:tc>
        <w:tc>
          <w:tcPr>
            <w:tcW w:w="3097"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u w:val="single"/>
              </w:rPr>
            </w:pPr>
            <w:r>
              <w:rPr>
                <w:rFonts w:hint="eastAsia" w:eastAsia="黑体" w:cs="黑体"/>
                <w:sz w:val="24"/>
                <w:szCs w:val="24"/>
              </w:rPr>
              <w:t>有异常情况下切断供气并报警功能的切断阀</w:t>
            </w:r>
          </w:p>
        </w:tc>
        <w:tc>
          <w:tcPr>
            <w:tcW w:w="714"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rPr>
            </w:pPr>
            <w:r>
              <w:rPr>
                <w:rFonts w:hint="eastAsia" w:eastAsia="黑体" w:cs="黑体"/>
                <w:sz w:val="24"/>
                <w:szCs w:val="24"/>
              </w:rPr>
              <w:t>其 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58"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宋体" w:cs="宋体"/>
                <w:sz w:val="24"/>
                <w:szCs w:val="24"/>
                <w:u w:val="single"/>
              </w:rPr>
            </w:pPr>
            <w:r>
              <w:rPr>
                <w:rFonts w:hint="eastAsia" w:eastAsia="宋体" w:cs="宋体"/>
                <w:sz w:val="24"/>
                <w:szCs w:val="24"/>
              </w:rPr>
              <w:t>瓶组间</w:t>
            </w:r>
          </w:p>
        </w:tc>
        <w:tc>
          <w:tcPr>
            <w:tcW w:w="1800" w:type="dxa"/>
          </w:tcPr>
          <w:p>
            <w:pPr>
              <w:keepNext w:val="0"/>
              <w:keepLines w:val="0"/>
              <w:pageBreakBefore w:val="0"/>
              <w:kinsoku/>
              <w:overflowPunct/>
              <w:topLinePunct w:val="0"/>
              <w:autoSpaceDE/>
              <w:autoSpaceDN/>
              <w:bidi w:val="0"/>
              <w:adjustRightInd w:val="0"/>
              <w:snapToGrid w:val="0"/>
              <w:spacing w:line="440" w:lineRule="exact"/>
              <w:jc w:val="left"/>
              <w:textAlignment w:val="auto"/>
              <w:rPr>
                <w:rFonts w:eastAsia="黑体" w:cs="黑体"/>
                <w:sz w:val="24"/>
                <w:szCs w:val="24"/>
                <w:u w:val="single"/>
              </w:rPr>
            </w:pPr>
          </w:p>
        </w:tc>
        <w:tc>
          <w:tcPr>
            <w:tcW w:w="3097" w:type="dxa"/>
          </w:tcPr>
          <w:p>
            <w:pPr>
              <w:keepNext w:val="0"/>
              <w:keepLines w:val="0"/>
              <w:pageBreakBefore w:val="0"/>
              <w:kinsoku/>
              <w:overflowPunct/>
              <w:topLinePunct w:val="0"/>
              <w:autoSpaceDE/>
              <w:autoSpaceDN/>
              <w:bidi w:val="0"/>
              <w:adjustRightInd w:val="0"/>
              <w:snapToGrid w:val="0"/>
              <w:spacing w:line="440" w:lineRule="exact"/>
              <w:jc w:val="left"/>
              <w:textAlignment w:val="auto"/>
              <w:rPr>
                <w:rFonts w:eastAsia="黑体" w:cs="黑体"/>
                <w:sz w:val="24"/>
                <w:szCs w:val="24"/>
                <w:u w:val="single"/>
              </w:rPr>
            </w:pPr>
          </w:p>
        </w:tc>
        <w:tc>
          <w:tcPr>
            <w:tcW w:w="714" w:type="dxa"/>
          </w:tcPr>
          <w:p>
            <w:pPr>
              <w:keepNext w:val="0"/>
              <w:keepLines w:val="0"/>
              <w:pageBreakBefore w:val="0"/>
              <w:kinsoku/>
              <w:overflowPunct/>
              <w:topLinePunct w:val="0"/>
              <w:autoSpaceDE/>
              <w:autoSpaceDN/>
              <w:bidi w:val="0"/>
              <w:adjustRightInd w:val="0"/>
              <w:snapToGrid w:val="0"/>
              <w:spacing w:line="440" w:lineRule="exact"/>
              <w:jc w:val="left"/>
              <w:textAlignment w:val="auto"/>
              <w:rPr>
                <w:rFonts w:eastAsia="黑体" w:cs="黑体"/>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58"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宋体" w:cs="宋体"/>
                <w:sz w:val="24"/>
                <w:szCs w:val="24"/>
                <w:u w:val="single"/>
              </w:rPr>
            </w:pPr>
            <w:r>
              <w:rPr>
                <w:rFonts w:hint="eastAsia" w:eastAsia="宋体" w:cs="宋体"/>
                <w:sz w:val="24"/>
                <w:szCs w:val="24"/>
              </w:rPr>
              <w:t>用气设备房间</w:t>
            </w:r>
          </w:p>
        </w:tc>
        <w:tc>
          <w:tcPr>
            <w:tcW w:w="1800" w:type="dxa"/>
          </w:tcPr>
          <w:p>
            <w:pPr>
              <w:keepNext w:val="0"/>
              <w:keepLines w:val="0"/>
              <w:pageBreakBefore w:val="0"/>
              <w:kinsoku/>
              <w:overflowPunct/>
              <w:topLinePunct w:val="0"/>
              <w:autoSpaceDE/>
              <w:autoSpaceDN/>
              <w:bidi w:val="0"/>
              <w:adjustRightInd w:val="0"/>
              <w:snapToGrid w:val="0"/>
              <w:spacing w:line="440" w:lineRule="exact"/>
              <w:jc w:val="left"/>
              <w:textAlignment w:val="auto"/>
              <w:rPr>
                <w:rFonts w:eastAsia="黑体" w:cs="黑体"/>
                <w:sz w:val="24"/>
                <w:szCs w:val="24"/>
                <w:u w:val="single"/>
              </w:rPr>
            </w:pPr>
          </w:p>
        </w:tc>
        <w:tc>
          <w:tcPr>
            <w:tcW w:w="3097" w:type="dxa"/>
          </w:tcPr>
          <w:p>
            <w:pPr>
              <w:keepNext w:val="0"/>
              <w:keepLines w:val="0"/>
              <w:pageBreakBefore w:val="0"/>
              <w:kinsoku/>
              <w:overflowPunct/>
              <w:topLinePunct w:val="0"/>
              <w:autoSpaceDE/>
              <w:autoSpaceDN/>
              <w:bidi w:val="0"/>
              <w:adjustRightInd w:val="0"/>
              <w:snapToGrid w:val="0"/>
              <w:spacing w:line="440" w:lineRule="exact"/>
              <w:jc w:val="left"/>
              <w:textAlignment w:val="auto"/>
              <w:rPr>
                <w:rFonts w:eastAsia="黑体" w:cs="黑体"/>
                <w:sz w:val="24"/>
                <w:szCs w:val="24"/>
                <w:u w:val="single"/>
              </w:rPr>
            </w:pPr>
          </w:p>
        </w:tc>
        <w:tc>
          <w:tcPr>
            <w:tcW w:w="714" w:type="dxa"/>
          </w:tcPr>
          <w:p>
            <w:pPr>
              <w:keepNext w:val="0"/>
              <w:keepLines w:val="0"/>
              <w:pageBreakBefore w:val="0"/>
              <w:kinsoku/>
              <w:overflowPunct/>
              <w:topLinePunct w:val="0"/>
              <w:autoSpaceDE/>
              <w:autoSpaceDN/>
              <w:bidi w:val="0"/>
              <w:adjustRightInd w:val="0"/>
              <w:snapToGrid w:val="0"/>
              <w:spacing w:line="440" w:lineRule="exact"/>
              <w:jc w:val="left"/>
              <w:textAlignment w:val="auto"/>
              <w:rPr>
                <w:rFonts w:eastAsia="黑体" w:cs="黑体"/>
                <w:sz w:val="24"/>
                <w:szCs w:val="24"/>
                <w:u w:val="single"/>
              </w:rPr>
            </w:pPr>
          </w:p>
        </w:tc>
      </w:tr>
    </w:tbl>
    <w:p>
      <w:pPr>
        <w:keepNext w:val="0"/>
        <w:keepLines w:val="0"/>
        <w:pageBreakBefore w:val="0"/>
        <w:kinsoku/>
        <w:overflowPunct/>
        <w:topLinePunct w:val="0"/>
        <w:autoSpaceDE/>
        <w:autoSpaceDN/>
        <w:bidi w:val="0"/>
        <w:adjustRightInd w:val="0"/>
        <w:snapToGrid w:val="0"/>
        <w:spacing w:line="440" w:lineRule="exact"/>
        <w:jc w:val="left"/>
        <w:textAlignment w:val="auto"/>
        <w:rPr>
          <w:rFonts w:cs="仿宋_GB2312"/>
          <w:sz w:val="24"/>
          <w:szCs w:val="24"/>
        </w:rPr>
      </w:pPr>
      <w:r>
        <w:rPr>
          <w:rFonts w:hint="eastAsia" w:cs="仿宋_GB2312"/>
          <w:b/>
          <w:bCs/>
          <w:sz w:val="24"/>
          <w:szCs w:val="24"/>
        </w:rPr>
        <w:t>注：未安装上述安全防护装置的，乙方不向甲方提供燃气瓶。</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eastAsia="黑体" w:cs="黑体"/>
          <w:sz w:val="24"/>
          <w:szCs w:val="24"/>
        </w:rPr>
      </w:pPr>
      <w:r>
        <w:rPr>
          <w:rFonts w:hint="eastAsia" w:eastAsia="黑体" w:cs="黑体"/>
          <w:sz w:val="24"/>
          <w:szCs w:val="24"/>
        </w:rPr>
        <w:t>第四条  气体质量和供气价格</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eastAsia="楷体_GB2312" w:cs="楷体_GB2312"/>
          <w:sz w:val="24"/>
          <w:szCs w:val="24"/>
        </w:rPr>
      </w:pPr>
      <w:r>
        <w:rPr>
          <w:rFonts w:hint="eastAsia" w:eastAsia="楷体_GB2312" w:cs="楷体_GB2312"/>
          <w:sz w:val="24"/>
          <w:szCs w:val="24"/>
        </w:rPr>
        <w:t>1.气体质量</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cs="仿宋_GB2312"/>
          <w:sz w:val="24"/>
          <w:szCs w:val="24"/>
        </w:rPr>
      </w:pPr>
      <w:r>
        <w:rPr>
          <w:rFonts w:hint="eastAsia" w:cs="仿宋_GB2312"/>
          <w:sz w:val="24"/>
          <w:szCs w:val="24"/>
        </w:rPr>
        <w:t>乙方供应的液化石油气气体组分、热值和充装量须符合国家</w:t>
      </w:r>
      <w:r>
        <w:rPr>
          <w:rFonts w:hint="eastAsia" w:cs="仿宋_GB2312"/>
          <w:sz w:val="24"/>
          <w:szCs w:val="24"/>
          <w:lang w:eastAsia="zh-CN"/>
        </w:rPr>
        <w:t>、省</w:t>
      </w:r>
      <w:r>
        <w:rPr>
          <w:rFonts w:hint="eastAsia" w:cs="仿宋_GB2312"/>
          <w:sz w:val="24"/>
          <w:szCs w:val="24"/>
        </w:rPr>
        <w:t>相关标准要求。</w:t>
      </w:r>
    </w:p>
    <w:p>
      <w:pPr>
        <w:keepNext w:val="0"/>
        <w:keepLines w:val="0"/>
        <w:pageBreakBefore w:val="0"/>
        <w:kinsoku/>
        <w:overflowPunct/>
        <w:topLinePunct w:val="0"/>
        <w:autoSpaceDE/>
        <w:autoSpaceDN/>
        <w:bidi w:val="0"/>
        <w:adjustRightInd w:val="0"/>
        <w:snapToGrid w:val="0"/>
        <w:spacing w:line="440" w:lineRule="exact"/>
        <w:ind w:firstLine="480" w:firstLineChars="200"/>
        <w:jc w:val="left"/>
        <w:textAlignment w:val="auto"/>
        <w:rPr>
          <w:rFonts w:eastAsia="黑体" w:cs="黑体"/>
          <w:sz w:val="24"/>
          <w:szCs w:val="24"/>
        </w:rPr>
      </w:pPr>
      <w:r>
        <w:rPr>
          <w:rFonts w:hint="eastAsia" w:eastAsia="楷体_GB2312" w:cs="楷体_GB2312"/>
          <w:sz w:val="24"/>
          <w:szCs w:val="24"/>
        </w:rPr>
        <w:t>2.供气价格</w:t>
      </w:r>
    </w:p>
    <w:tbl>
      <w:tblPr>
        <w:tblStyle w:val="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780"/>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88"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rPr>
            </w:pPr>
            <w:r>
              <w:rPr>
                <w:rFonts w:hint="eastAsia" w:eastAsia="黑体" w:cs="黑体"/>
                <w:sz w:val="24"/>
                <w:szCs w:val="24"/>
              </w:rPr>
              <w:t>气瓶净含量类型</w:t>
            </w:r>
          </w:p>
        </w:tc>
        <w:tc>
          <w:tcPr>
            <w:tcW w:w="2780"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rPr>
            </w:pPr>
            <w:r>
              <w:rPr>
                <w:rFonts w:hint="eastAsia" w:eastAsia="黑体" w:cs="黑体"/>
                <w:sz w:val="24"/>
                <w:szCs w:val="24"/>
              </w:rPr>
              <w:t>按瓶计量单价（元/瓶）</w:t>
            </w:r>
          </w:p>
        </w:tc>
        <w:tc>
          <w:tcPr>
            <w:tcW w:w="3393"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黑体" w:cs="黑体"/>
                <w:sz w:val="24"/>
                <w:szCs w:val="24"/>
              </w:rPr>
            </w:pPr>
            <w:r>
              <w:rPr>
                <w:rFonts w:hint="eastAsia" w:eastAsia="黑体" w:cs="黑体"/>
                <w:sz w:val="24"/>
                <w:szCs w:val="24"/>
              </w:rPr>
              <w:t>按称重计量单价（元/公斤）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88"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eastAsia="宋体" w:cs="宋体"/>
                <w:sz w:val="24"/>
                <w:szCs w:val="24"/>
              </w:rPr>
            </w:pPr>
            <w:r>
              <w:rPr>
                <w:rFonts w:hint="eastAsia" w:eastAsia="宋体" w:cs="宋体"/>
                <w:sz w:val="24"/>
                <w:szCs w:val="24"/>
              </w:rPr>
              <w:t>15公斤气瓶</w:t>
            </w:r>
          </w:p>
        </w:tc>
        <w:tc>
          <w:tcPr>
            <w:tcW w:w="2780"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cs="仿宋_GB2312"/>
                <w:sz w:val="24"/>
                <w:szCs w:val="24"/>
              </w:rPr>
            </w:pPr>
          </w:p>
        </w:tc>
        <w:tc>
          <w:tcPr>
            <w:tcW w:w="3393"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888"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sz w:val="24"/>
                <w:szCs w:val="24"/>
              </w:rPr>
            </w:pPr>
            <w:r>
              <w:rPr>
                <w:rFonts w:hint="eastAsia" w:eastAsia="宋体" w:cs="宋体"/>
                <w:sz w:val="24"/>
                <w:szCs w:val="24"/>
              </w:rPr>
              <w:t>50公斤气瓶</w:t>
            </w:r>
          </w:p>
        </w:tc>
        <w:tc>
          <w:tcPr>
            <w:tcW w:w="2780"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cs="仿宋_GB2312"/>
                <w:sz w:val="24"/>
                <w:szCs w:val="24"/>
              </w:rPr>
            </w:pPr>
          </w:p>
        </w:tc>
        <w:tc>
          <w:tcPr>
            <w:tcW w:w="3393" w:type="dxa"/>
            <w:vAlign w:val="center"/>
          </w:tcPr>
          <w:p>
            <w:pPr>
              <w:keepNext w:val="0"/>
              <w:keepLines w:val="0"/>
              <w:pageBreakBefore w:val="0"/>
              <w:kinsoku/>
              <w:overflowPunct/>
              <w:topLinePunct w:val="0"/>
              <w:autoSpaceDE/>
              <w:autoSpaceDN/>
              <w:bidi w:val="0"/>
              <w:adjustRightInd w:val="0"/>
              <w:snapToGrid w:val="0"/>
              <w:spacing w:line="440" w:lineRule="exact"/>
              <w:jc w:val="center"/>
              <w:textAlignment w:val="auto"/>
              <w:rPr>
                <w:rFonts w:cs="仿宋_GB2312"/>
                <w:sz w:val="24"/>
                <w:szCs w:val="24"/>
              </w:rPr>
            </w:pPr>
          </w:p>
        </w:tc>
      </w:tr>
    </w:tbl>
    <w:p>
      <w:pPr>
        <w:keepNext w:val="0"/>
        <w:keepLines w:val="0"/>
        <w:pageBreakBefore w:val="0"/>
        <w:kinsoku/>
        <w:overflowPunct/>
        <w:topLinePunct w:val="0"/>
        <w:autoSpaceDE/>
        <w:autoSpaceDN/>
        <w:bidi w:val="0"/>
        <w:spacing w:line="440" w:lineRule="exact"/>
        <w:ind w:firstLine="480" w:firstLineChars="200"/>
        <w:jc w:val="left"/>
        <w:textAlignment w:val="auto"/>
        <w:rPr>
          <w:rFonts w:eastAsia="黑体" w:cs="黑体"/>
          <w:sz w:val="24"/>
          <w:szCs w:val="24"/>
        </w:rPr>
      </w:pPr>
      <w:r>
        <w:rPr>
          <w:rFonts w:hint="eastAsia" w:eastAsia="黑体" w:cs="黑体"/>
          <w:sz w:val="24"/>
          <w:szCs w:val="24"/>
        </w:rPr>
        <w:t>第五条  双方责任与义务</w:t>
      </w:r>
    </w:p>
    <w:p>
      <w:pPr>
        <w:keepNext w:val="0"/>
        <w:keepLines w:val="0"/>
        <w:pageBreakBefore w:val="0"/>
        <w:kinsoku/>
        <w:overflowPunct/>
        <w:topLinePunct w:val="0"/>
        <w:autoSpaceDE/>
        <w:autoSpaceDN/>
        <w:bidi w:val="0"/>
        <w:spacing w:line="440" w:lineRule="exact"/>
        <w:ind w:firstLine="480" w:firstLineChars="200"/>
        <w:jc w:val="left"/>
        <w:textAlignment w:val="auto"/>
        <w:rPr>
          <w:rFonts w:cs="仿宋_GB2312"/>
          <w:sz w:val="24"/>
          <w:szCs w:val="24"/>
        </w:rPr>
      </w:pPr>
      <w:r>
        <w:rPr>
          <w:rFonts w:hint="eastAsia" w:cs="仿宋_GB2312"/>
          <w:sz w:val="24"/>
          <w:szCs w:val="24"/>
        </w:rPr>
        <w:t>1.甲方购气时，由乙方实行配送上门，每次送气时，乙方须对甲方用气场所、供用气系统、燃气燃烧器具进行安全检查，并现场接装气瓶,甲方应予以配合。</w:t>
      </w:r>
    </w:p>
    <w:p>
      <w:pPr>
        <w:keepNext w:val="0"/>
        <w:keepLines w:val="0"/>
        <w:pageBreakBefore w:val="0"/>
        <w:kinsoku/>
        <w:overflowPunct/>
        <w:topLinePunct w:val="0"/>
        <w:autoSpaceDE/>
        <w:autoSpaceDN/>
        <w:bidi w:val="0"/>
        <w:spacing w:line="440" w:lineRule="exact"/>
        <w:ind w:firstLine="480" w:firstLineChars="200"/>
        <w:jc w:val="left"/>
        <w:textAlignment w:val="auto"/>
        <w:rPr>
          <w:rFonts w:cs="仿宋_GB2312"/>
          <w:sz w:val="24"/>
          <w:szCs w:val="24"/>
        </w:rPr>
      </w:pPr>
      <w:r>
        <w:rPr>
          <w:rFonts w:hint="eastAsia" w:cs="仿宋_GB2312"/>
          <w:sz w:val="24"/>
          <w:szCs w:val="24"/>
        </w:rPr>
        <w:t>2.乙方发现甲方用气场所、供用气系统</w:t>
      </w:r>
      <w:r>
        <w:rPr>
          <w:rFonts w:hint="eastAsia" w:cs="仿宋_GB2312"/>
          <w:sz w:val="24"/>
          <w:szCs w:val="24"/>
          <w:lang w:eastAsia="zh-CN"/>
        </w:rPr>
        <w:t>等</w:t>
      </w:r>
      <w:r>
        <w:rPr>
          <w:rFonts w:hint="eastAsia" w:cs="仿宋_GB2312"/>
          <w:sz w:val="24"/>
          <w:szCs w:val="24"/>
        </w:rPr>
        <w:t>存在安全隐患的，应书面告知整改建议，甲方承担</w:t>
      </w:r>
      <w:r>
        <w:rPr>
          <w:rFonts w:hint="eastAsia" w:cs="仿宋_GB2312"/>
          <w:sz w:val="24"/>
          <w:szCs w:val="24"/>
          <w:lang w:eastAsia="zh-CN"/>
        </w:rPr>
        <w:t>整改责任；整改完成前</w:t>
      </w:r>
      <w:r>
        <w:rPr>
          <w:rFonts w:hint="eastAsia" w:cs="仿宋_GB2312"/>
          <w:sz w:val="24"/>
          <w:szCs w:val="24"/>
        </w:rPr>
        <w:t>，乙方暂不予以供气。</w:t>
      </w:r>
    </w:p>
    <w:p>
      <w:pPr>
        <w:keepNext w:val="0"/>
        <w:keepLines w:val="0"/>
        <w:pageBreakBefore w:val="0"/>
        <w:kinsoku/>
        <w:overflowPunct/>
        <w:topLinePunct w:val="0"/>
        <w:autoSpaceDE/>
        <w:autoSpaceDN/>
        <w:bidi w:val="0"/>
        <w:spacing w:line="440" w:lineRule="exact"/>
        <w:ind w:firstLine="480" w:firstLineChars="200"/>
        <w:jc w:val="left"/>
        <w:textAlignment w:val="auto"/>
        <w:rPr>
          <w:rFonts w:cs="仿宋_GB2312"/>
          <w:sz w:val="24"/>
          <w:szCs w:val="24"/>
        </w:rPr>
      </w:pPr>
      <w:r>
        <w:rPr>
          <w:rFonts w:hint="eastAsia" w:cs="仿宋_GB2312"/>
          <w:sz w:val="24"/>
          <w:szCs w:val="24"/>
        </w:rPr>
        <w:t>3.每次购气交易时，乙方应登记甲方气瓶接收人的身份信息，向甲方提供供用气凭证（记录气瓶编号、气瓶接收人姓名、购气时间、配送人员姓名）。</w:t>
      </w:r>
    </w:p>
    <w:p>
      <w:pPr>
        <w:keepNext w:val="0"/>
        <w:keepLines w:val="0"/>
        <w:pageBreakBefore w:val="0"/>
        <w:kinsoku/>
        <w:overflowPunct/>
        <w:topLinePunct w:val="0"/>
        <w:autoSpaceDE/>
        <w:autoSpaceDN/>
        <w:bidi w:val="0"/>
        <w:spacing w:line="440" w:lineRule="exact"/>
        <w:ind w:firstLine="480" w:firstLineChars="200"/>
        <w:jc w:val="left"/>
        <w:textAlignment w:val="auto"/>
        <w:rPr>
          <w:rFonts w:cs="仿宋_GB2312"/>
          <w:sz w:val="24"/>
          <w:szCs w:val="24"/>
        </w:rPr>
      </w:pPr>
      <w:r>
        <w:rPr>
          <w:rFonts w:hint="eastAsia" w:cs="仿宋_GB2312"/>
          <w:sz w:val="24"/>
          <w:szCs w:val="24"/>
        </w:rPr>
        <w:t>4.甲方应安排专人每天对供用气系统和用气设备进行检查，发现供用气系统和用气设备异常</w:t>
      </w:r>
      <w:r>
        <w:rPr>
          <w:rFonts w:hint="eastAsia" w:cs="仿宋_GB2312"/>
          <w:sz w:val="24"/>
          <w:szCs w:val="24"/>
          <w:lang w:eastAsia="zh-CN"/>
        </w:rPr>
        <w:t>，应</w:t>
      </w:r>
      <w:r>
        <w:rPr>
          <w:rFonts w:hint="eastAsia" w:cs="仿宋_GB2312"/>
          <w:sz w:val="24"/>
          <w:szCs w:val="24"/>
        </w:rPr>
        <w:t>立即通知乙方，乙方立即派人到现场检查、处理。</w:t>
      </w:r>
    </w:p>
    <w:p>
      <w:pPr>
        <w:keepNext w:val="0"/>
        <w:keepLines w:val="0"/>
        <w:pageBreakBefore w:val="0"/>
        <w:kinsoku/>
        <w:overflowPunct/>
        <w:topLinePunct w:val="0"/>
        <w:autoSpaceDE/>
        <w:autoSpaceDN/>
        <w:bidi w:val="0"/>
        <w:spacing w:line="440" w:lineRule="exact"/>
        <w:ind w:firstLine="480" w:firstLineChars="200"/>
        <w:jc w:val="left"/>
        <w:textAlignment w:val="auto"/>
        <w:rPr>
          <w:rFonts w:cs="仿宋_GB2312"/>
          <w:sz w:val="24"/>
          <w:szCs w:val="24"/>
        </w:rPr>
      </w:pPr>
      <w:r>
        <w:rPr>
          <w:rFonts w:hint="eastAsia" w:cs="仿宋_GB2312"/>
          <w:sz w:val="24"/>
          <w:szCs w:val="24"/>
        </w:rPr>
        <w:t>5.甲方应当接受乙方的业务指导，并对其安全管理的人员和供用气系统、用气设备和燃气燃烧器具的操作、运行、维护人员进行安全技术培训。</w:t>
      </w:r>
    </w:p>
    <w:p>
      <w:pPr>
        <w:keepNext w:val="0"/>
        <w:keepLines w:val="0"/>
        <w:pageBreakBefore w:val="0"/>
        <w:kinsoku/>
        <w:overflowPunct/>
        <w:topLinePunct w:val="0"/>
        <w:autoSpaceDE/>
        <w:autoSpaceDN/>
        <w:bidi w:val="0"/>
        <w:spacing w:line="440" w:lineRule="exact"/>
        <w:ind w:firstLine="480" w:firstLineChars="200"/>
        <w:jc w:val="left"/>
        <w:textAlignment w:val="auto"/>
        <w:rPr>
          <w:rFonts w:eastAsia="黑体" w:cs="黑体"/>
          <w:sz w:val="24"/>
          <w:szCs w:val="24"/>
        </w:rPr>
      </w:pPr>
      <w:r>
        <w:rPr>
          <w:rFonts w:hint="eastAsia" w:eastAsia="黑体" w:cs="黑体"/>
          <w:sz w:val="24"/>
          <w:szCs w:val="24"/>
        </w:rPr>
        <w:t>第六条  违约责任</w:t>
      </w:r>
    </w:p>
    <w:p>
      <w:pPr>
        <w:keepNext w:val="0"/>
        <w:keepLines w:val="0"/>
        <w:pageBreakBefore w:val="0"/>
        <w:kinsoku/>
        <w:overflowPunct/>
        <w:topLinePunct w:val="0"/>
        <w:autoSpaceDE/>
        <w:autoSpaceDN/>
        <w:bidi w:val="0"/>
        <w:spacing w:line="440" w:lineRule="exact"/>
        <w:ind w:firstLine="480" w:firstLineChars="200"/>
        <w:jc w:val="left"/>
        <w:textAlignment w:val="auto"/>
        <w:rPr>
          <w:rFonts w:cs="仿宋_GB2312"/>
          <w:color w:val="FF0000"/>
          <w:sz w:val="24"/>
          <w:szCs w:val="24"/>
        </w:rPr>
      </w:pPr>
      <w:r>
        <w:rPr>
          <w:rFonts w:hint="eastAsia" w:cs="仿宋_GB2312"/>
          <w:sz w:val="24"/>
          <w:szCs w:val="24"/>
        </w:rPr>
        <w:t>1.甲方向本合同约定以外的单位购买液化石油气的，本合同自动解除。</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cs="仿宋_GB2312"/>
          <w:kern w:val="0"/>
          <w:sz w:val="24"/>
          <w:szCs w:val="24"/>
        </w:rPr>
      </w:pPr>
      <w:r>
        <w:rPr>
          <w:rFonts w:cs="仿宋_GB2312"/>
          <w:sz w:val="24"/>
          <w:szCs w:val="24"/>
        </w:rPr>
        <w:t>2</w:t>
      </w:r>
      <w:r>
        <w:rPr>
          <w:rFonts w:hint="eastAsia" w:cs="仿宋_GB2312"/>
          <w:sz w:val="24"/>
          <w:szCs w:val="24"/>
        </w:rPr>
        <w:t>.</w:t>
      </w:r>
      <w:r>
        <w:rPr>
          <w:rFonts w:hint="eastAsia" w:cs="仿宋_GB2312"/>
          <w:kern w:val="0"/>
          <w:sz w:val="24"/>
          <w:szCs w:val="24"/>
        </w:rPr>
        <w:t>甲方违反法律法规、标准规范、操作规程以及本合同规定使用液化气造成事故的，由甲方承担责任；给其他方造成损失的，甲方应承担赔偿责任。</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cs="仿宋_GB2312"/>
          <w:color w:val="FF0000"/>
          <w:kern w:val="0"/>
          <w:sz w:val="24"/>
          <w:szCs w:val="24"/>
        </w:rPr>
      </w:pPr>
      <w:r>
        <w:rPr>
          <w:rFonts w:hint="eastAsia" w:cs="仿宋_GB2312"/>
          <w:kern w:val="0"/>
          <w:sz w:val="24"/>
          <w:szCs w:val="24"/>
          <w:lang w:val="en-US" w:eastAsia="zh-CN"/>
        </w:rPr>
        <w:t>3</w:t>
      </w:r>
      <w:r>
        <w:rPr>
          <w:rFonts w:hint="eastAsia" w:cs="仿宋_GB2312"/>
          <w:kern w:val="0"/>
          <w:sz w:val="24"/>
          <w:szCs w:val="24"/>
        </w:rPr>
        <w:t>.因甲方原因导致气瓶毁损、丢失的，视情</w:t>
      </w:r>
      <w:r>
        <w:rPr>
          <w:rFonts w:hint="eastAsia" w:cs="仿宋_GB2312"/>
          <w:kern w:val="0"/>
          <w:sz w:val="24"/>
          <w:szCs w:val="24"/>
          <w:lang w:eastAsia="zh-CN"/>
        </w:rPr>
        <w:t>况</w:t>
      </w:r>
      <w:r>
        <w:rPr>
          <w:rFonts w:hint="eastAsia" w:cs="仿宋_GB2312"/>
          <w:kern w:val="0"/>
          <w:sz w:val="24"/>
          <w:szCs w:val="24"/>
        </w:rPr>
        <w:t>扣除气瓶押金每瓶【   】元。</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rFonts w:cs="仿宋_GB2312"/>
          <w:kern w:val="0"/>
          <w:sz w:val="24"/>
          <w:szCs w:val="24"/>
        </w:rPr>
      </w:pPr>
      <w:r>
        <w:rPr>
          <w:rFonts w:hint="eastAsia" w:cs="仿宋_GB2312"/>
          <w:kern w:val="0"/>
          <w:sz w:val="24"/>
          <w:szCs w:val="24"/>
          <w:lang w:val="en-US" w:eastAsia="zh-CN"/>
        </w:rPr>
        <w:t>4</w:t>
      </w:r>
      <w:r>
        <w:rPr>
          <w:rFonts w:hint="eastAsia" w:cs="仿宋_GB2312"/>
          <w:kern w:val="0"/>
          <w:sz w:val="24"/>
          <w:szCs w:val="24"/>
        </w:rPr>
        <w:t>.甲方未经乙方书面同意变更用户主体、用气场所的，应立即改正，如甲方拒不改正，乙方停止供气、解除合同。</w:t>
      </w:r>
    </w:p>
    <w:p>
      <w:pPr>
        <w:keepNext w:val="0"/>
        <w:keepLines w:val="0"/>
        <w:pageBreakBefore w:val="0"/>
        <w:kinsoku/>
        <w:overflowPunct/>
        <w:topLinePunct w:val="0"/>
        <w:autoSpaceDE/>
        <w:autoSpaceDN/>
        <w:bidi w:val="0"/>
        <w:spacing w:line="440" w:lineRule="exact"/>
        <w:ind w:firstLine="480" w:firstLineChars="200"/>
        <w:textAlignment w:val="auto"/>
        <w:rPr>
          <w:rFonts w:eastAsia="黑体"/>
          <w:color w:val="000000"/>
          <w:sz w:val="24"/>
          <w:szCs w:val="24"/>
        </w:rPr>
      </w:pPr>
      <w:r>
        <w:rPr>
          <w:rFonts w:hint="eastAsia" w:eastAsia="黑体"/>
          <w:color w:val="000000"/>
          <w:sz w:val="24"/>
          <w:szCs w:val="24"/>
        </w:rPr>
        <w:t>第七条  合同的生效</w:t>
      </w:r>
    </w:p>
    <w:p>
      <w:pPr>
        <w:keepNext w:val="0"/>
        <w:keepLines w:val="0"/>
        <w:pageBreakBefore w:val="0"/>
        <w:kinsoku/>
        <w:overflowPunct/>
        <w:topLinePunct w:val="0"/>
        <w:autoSpaceDE/>
        <w:autoSpaceDN/>
        <w:bidi w:val="0"/>
        <w:adjustRightInd w:val="0"/>
        <w:snapToGrid w:val="0"/>
        <w:spacing w:line="440" w:lineRule="exact"/>
        <w:ind w:firstLine="480" w:firstLineChars="200"/>
        <w:textAlignment w:val="auto"/>
        <w:rPr>
          <w:color w:val="000000"/>
          <w:sz w:val="24"/>
          <w:szCs w:val="24"/>
        </w:rPr>
      </w:pPr>
      <w:r>
        <w:rPr>
          <w:rFonts w:hint="eastAsia" w:cs="仿宋_GB2312"/>
          <w:sz w:val="24"/>
          <w:szCs w:val="24"/>
        </w:rPr>
        <w:t>本合同有效期为</w:t>
      </w:r>
      <w:r>
        <w:rPr>
          <w:rFonts w:hint="eastAsia" w:cs="仿宋_GB2312"/>
          <w:sz w:val="24"/>
          <w:szCs w:val="24"/>
          <w:u w:val="single"/>
        </w:rPr>
        <w:t xml:space="preserve">    </w:t>
      </w:r>
      <w:r>
        <w:rPr>
          <w:rFonts w:hint="eastAsia" w:cs="仿宋_GB2312"/>
          <w:sz w:val="24"/>
          <w:szCs w:val="24"/>
        </w:rPr>
        <w:t>年</w:t>
      </w:r>
      <w:r>
        <w:rPr>
          <w:rFonts w:hint="eastAsia" w:cs="仿宋_GB2312"/>
          <w:sz w:val="24"/>
          <w:szCs w:val="24"/>
          <w:u w:val="single"/>
        </w:rPr>
        <w:t xml:space="preserve">   </w:t>
      </w:r>
      <w:r>
        <w:rPr>
          <w:rFonts w:hint="eastAsia" w:cs="仿宋_GB2312"/>
          <w:sz w:val="24"/>
          <w:szCs w:val="24"/>
        </w:rPr>
        <w:t>月</w:t>
      </w:r>
      <w:r>
        <w:rPr>
          <w:rFonts w:hint="eastAsia" w:cs="仿宋_GB2312"/>
          <w:sz w:val="24"/>
          <w:szCs w:val="24"/>
          <w:u w:val="single"/>
        </w:rPr>
        <w:t xml:space="preserve">   </w:t>
      </w:r>
      <w:r>
        <w:rPr>
          <w:rFonts w:hint="eastAsia" w:cs="仿宋_GB2312"/>
          <w:sz w:val="24"/>
          <w:szCs w:val="24"/>
        </w:rPr>
        <w:t>日至</w:t>
      </w:r>
      <w:r>
        <w:rPr>
          <w:rFonts w:hint="eastAsia" w:cs="仿宋_GB2312"/>
          <w:sz w:val="24"/>
          <w:szCs w:val="24"/>
          <w:u w:val="single"/>
        </w:rPr>
        <w:t xml:space="preserve">    </w:t>
      </w:r>
      <w:r>
        <w:rPr>
          <w:rFonts w:hint="eastAsia" w:cs="仿宋_GB2312"/>
          <w:sz w:val="24"/>
          <w:szCs w:val="24"/>
        </w:rPr>
        <w:t>年</w:t>
      </w:r>
      <w:r>
        <w:rPr>
          <w:rFonts w:hint="eastAsia" w:cs="仿宋_GB2312"/>
          <w:sz w:val="24"/>
          <w:szCs w:val="24"/>
          <w:u w:val="single"/>
        </w:rPr>
        <w:t xml:space="preserve">   </w:t>
      </w:r>
      <w:r>
        <w:rPr>
          <w:rFonts w:hint="eastAsia" w:cs="仿宋_GB2312"/>
          <w:sz w:val="24"/>
          <w:szCs w:val="24"/>
        </w:rPr>
        <w:t>月</w:t>
      </w:r>
      <w:r>
        <w:rPr>
          <w:rFonts w:hint="eastAsia" w:cs="仿宋_GB2312"/>
          <w:sz w:val="24"/>
          <w:szCs w:val="24"/>
          <w:u w:val="single"/>
        </w:rPr>
        <w:t xml:space="preserve">   </w:t>
      </w:r>
      <w:r>
        <w:rPr>
          <w:rFonts w:hint="eastAsia" w:cs="仿宋_GB2312"/>
          <w:sz w:val="24"/>
          <w:szCs w:val="24"/>
        </w:rPr>
        <w:t>日，履行期内，甲方书面要求终止合同的，本合同即行终止。本合同到期后，如甲乙双方继续合作，在双方另行签署新的供气合同前，本合同继续有效。</w:t>
      </w:r>
    </w:p>
    <w:p>
      <w:pPr>
        <w:keepNext w:val="0"/>
        <w:keepLines w:val="0"/>
        <w:pageBreakBefore w:val="0"/>
        <w:kinsoku/>
        <w:overflowPunct/>
        <w:topLinePunct w:val="0"/>
        <w:autoSpaceDE/>
        <w:autoSpaceDN/>
        <w:bidi w:val="0"/>
        <w:spacing w:line="440" w:lineRule="exact"/>
        <w:ind w:firstLine="480" w:firstLineChars="200"/>
        <w:textAlignment w:val="auto"/>
        <w:rPr>
          <w:rFonts w:eastAsia="黑体"/>
          <w:color w:val="000000"/>
          <w:sz w:val="24"/>
          <w:szCs w:val="24"/>
        </w:rPr>
      </w:pPr>
      <w:r>
        <w:rPr>
          <w:rFonts w:hint="eastAsia" w:eastAsia="黑体"/>
          <w:color w:val="000000"/>
          <w:sz w:val="24"/>
          <w:szCs w:val="24"/>
        </w:rPr>
        <w:t>第八条  争议解决方式</w:t>
      </w:r>
    </w:p>
    <w:p>
      <w:pPr>
        <w:keepNext w:val="0"/>
        <w:keepLines w:val="0"/>
        <w:pageBreakBefore w:val="0"/>
        <w:kinsoku/>
        <w:overflowPunct/>
        <w:topLinePunct w:val="0"/>
        <w:autoSpaceDE/>
        <w:autoSpaceDN/>
        <w:bidi w:val="0"/>
        <w:spacing w:line="440" w:lineRule="exact"/>
        <w:ind w:firstLine="480" w:firstLineChars="200"/>
        <w:textAlignment w:val="auto"/>
        <w:rPr>
          <w:color w:val="000000"/>
          <w:sz w:val="24"/>
          <w:szCs w:val="24"/>
        </w:rPr>
      </w:pPr>
      <w:r>
        <w:rPr>
          <w:color w:val="000000"/>
          <w:sz w:val="24"/>
          <w:szCs w:val="24"/>
        </w:rPr>
        <w:t>本合同项下发生的争议，由双方协商解决，也可以向属地消费者协会或其他人民调解组织申请调解；协商不成的，向有关部门提起诉讼或根据双方另行达成的仲裁协议申请仲裁。</w:t>
      </w:r>
    </w:p>
    <w:p>
      <w:pPr>
        <w:keepNext w:val="0"/>
        <w:keepLines w:val="0"/>
        <w:pageBreakBefore w:val="0"/>
        <w:kinsoku/>
        <w:overflowPunct/>
        <w:topLinePunct w:val="0"/>
        <w:autoSpaceDE/>
        <w:autoSpaceDN/>
        <w:bidi w:val="0"/>
        <w:spacing w:line="440" w:lineRule="exact"/>
        <w:ind w:firstLine="480" w:firstLineChars="200"/>
        <w:textAlignment w:val="auto"/>
        <w:rPr>
          <w:rFonts w:eastAsia="黑体"/>
          <w:color w:val="000000"/>
          <w:sz w:val="24"/>
          <w:szCs w:val="24"/>
        </w:rPr>
      </w:pPr>
      <w:r>
        <w:rPr>
          <w:rFonts w:hint="eastAsia" w:eastAsia="黑体"/>
          <w:color w:val="000000"/>
          <w:sz w:val="24"/>
          <w:szCs w:val="24"/>
        </w:rPr>
        <w:t>第九条  其他</w:t>
      </w:r>
    </w:p>
    <w:p>
      <w:pPr>
        <w:keepNext w:val="0"/>
        <w:keepLines w:val="0"/>
        <w:pageBreakBefore w:val="0"/>
        <w:kinsoku/>
        <w:overflowPunct/>
        <w:topLinePunct w:val="0"/>
        <w:autoSpaceDE/>
        <w:autoSpaceDN/>
        <w:bidi w:val="0"/>
        <w:spacing w:line="440" w:lineRule="exact"/>
        <w:ind w:firstLine="480" w:firstLineChars="200"/>
        <w:textAlignment w:val="auto"/>
        <w:rPr>
          <w:rFonts w:hint="default" w:eastAsia="仿宋_GB2312"/>
          <w:sz w:val="24"/>
          <w:szCs w:val="24"/>
        </w:rPr>
      </w:pPr>
      <w:r>
        <w:rPr>
          <w:rFonts w:hint="eastAsia"/>
          <w:color w:val="000000"/>
          <w:sz w:val="24"/>
          <w:szCs w:val="24"/>
        </w:rPr>
        <w:t>本合同正本一式</w:t>
      </w:r>
      <w:r>
        <w:rPr>
          <w:rFonts w:hint="eastAsia"/>
          <w:color w:val="000000"/>
          <w:sz w:val="24"/>
          <w:szCs w:val="24"/>
          <w:u w:val="single"/>
        </w:rPr>
        <w:t xml:space="preserve">    </w:t>
      </w:r>
      <w:r>
        <w:rPr>
          <w:rFonts w:hint="eastAsia"/>
          <w:color w:val="000000"/>
          <w:sz w:val="24"/>
          <w:szCs w:val="24"/>
        </w:rPr>
        <w:t>份，甲方</w:t>
      </w:r>
      <w:r>
        <w:rPr>
          <w:rFonts w:hint="eastAsia"/>
          <w:color w:val="000000"/>
          <w:sz w:val="24"/>
          <w:szCs w:val="24"/>
          <w:u w:val="single"/>
        </w:rPr>
        <w:t xml:space="preserve">    </w:t>
      </w:r>
      <w:r>
        <w:rPr>
          <w:rFonts w:hint="eastAsia"/>
          <w:color w:val="000000"/>
          <w:sz w:val="24"/>
          <w:szCs w:val="24"/>
        </w:rPr>
        <w:t>份，乙方</w:t>
      </w:r>
      <w:r>
        <w:rPr>
          <w:rFonts w:hint="eastAsia"/>
          <w:color w:val="000000"/>
          <w:sz w:val="24"/>
          <w:szCs w:val="24"/>
          <w:u w:val="single"/>
        </w:rPr>
        <w:t xml:space="preserve">    </w:t>
      </w:r>
      <w:r>
        <w:rPr>
          <w:rFonts w:hint="eastAsia"/>
          <w:color w:val="000000"/>
          <w:sz w:val="24"/>
          <w:szCs w:val="24"/>
        </w:rPr>
        <w:t>份。本合同正文及附件、补充协议等均为本合同组成部分，具有同等法律效力。本合同自甲乙双方法定代表人或授权代表签字并加盖公章后生效。</w:t>
      </w:r>
    </w:p>
    <w:p>
      <w:pPr>
        <w:pStyle w:val="2"/>
        <w:keepNext w:val="0"/>
        <w:keepLines w:val="0"/>
        <w:pageBreakBefore w:val="0"/>
        <w:kinsoku/>
        <w:overflowPunct/>
        <w:topLinePunct w:val="0"/>
        <w:autoSpaceDE/>
        <w:autoSpaceDN/>
        <w:bidi w:val="0"/>
        <w:spacing w:line="440" w:lineRule="exact"/>
        <w:ind w:left="0"/>
        <w:textAlignment w:val="auto"/>
        <w:rPr>
          <w:rFonts w:eastAsia="仿宋_GB2312"/>
          <w:sz w:val="24"/>
          <w:szCs w:val="24"/>
        </w:rPr>
      </w:pPr>
    </w:p>
    <w:p>
      <w:pPr>
        <w:pStyle w:val="2"/>
        <w:keepNext w:val="0"/>
        <w:keepLines w:val="0"/>
        <w:pageBreakBefore w:val="0"/>
        <w:kinsoku/>
        <w:overflowPunct/>
        <w:topLinePunct w:val="0"/>
        <w:autoSpaceDE/>
        <w:autoSpaceDN/>
        <w:bidi w:val="0"/>
        <w:spacing w:line="440" w:lineRule="exact"/>
        <w:ind w:left="0"/>
        <w:textAlignment w:val="auto"/>
        <w:rPr>
          <w:rFonts w:eastAsia="仿宋_GB2312"/>
          <w:sz w:val="24"/>
          <w:szCs w:val="24"/>
        </w:rPr>
      </w:pPr>
    </w:p>
    <w:p>
      <w:pPr>
        <w:pStyle w:val="2"/>
        <w:keepNext w:val="0"/>
        <w:keepLines w:val="0"/>
        <w:pageBreakBefore w:val="0"/>
        <w:kinsoku/>
        <w:overflowPunct/>
        <w:topLinePunct w:val="0"/>
        <w:autoSpaceDE/>
        <w:autoSpaceDN/>
        <w:bidi w:val="0"/>
        <w:spacing w:line="440" w:lineRule="exact"/>
        <w:ind w:left="0"/>
        <w:textAlignment w:val="auto"/>
        <w:rPr>
          <w:rFonts w:eastAsia="仿宋_GB2312"/>
          <w:sz w:val="24"/>
          <w:szCs w:val="24"/>
        </w:rPr>
      </w:pPr>
    </w:p>
    <w:p>
      <w:pPr>
        <w:pStyle w:val="2"/>
        <w:keepNext w:val="0"/>
        <w:keepLines w:val="0"/>
        <w:pageBreakBefore w:val="0"/>
        <w:kinsoku/>
        <w:overflowPunct/>
        <w:topLinePunct w:val="0"/>
        <w:autoSpaceDE/>
        <w:autoSpaceDN/>
        <w:bidi w:val="0"/>
        <w:spacing w:line="440" w:lineRule="exact"/>
        <w:ind w:left="0"/>
        <w:textAlignment w:val="auto"/>
        <w:rPr>
          <w:rFonts w:eastAsia="仿宋_GB2312"/>
          <w:sz w:val="24"/>
          <w:szCs w:val="24"/>
        </w:rPr>
      </w:pPr>
    </w:p>
    <w:p>
      <w:pPr>
        <w:pStyle w:val="2"/>
        <w:keepNext w:val="0"/>
        <w:keepLines w:val="0"/>
        <w:pageBreakBefore w:val="0"/>
        <w:kinsoku/>
        <w:overflowPunct/>
        <w:topLinePunct w:val="0"/>
        <w:autoSpaceDE/>
        <w:autoSpaceDN/>
        <w:bidi w:val="0"/>
        <w:spacing w:line="440" w:lineRule="exact"/>
        <w:ind w:left="0"/>
        <w:textAlignment w:val="auto"/>
        <w:rPr>
          <w:rFonts w:eastAsia="仿宋_GB2312"/>
          <w:sz w:val="24"/>
          <w:szCs w:val="24"/>
        </w:rPr>
      </w:pPr>
    </w:p>
    <w:p>
      <w:pPr>
        <w:pStyle w:val="2"/>
        <w:keepNext w:val="0"/>
        <w:keepLines w:val="0"/>
        <w:pageBreakBefore w:val="0"/>
        <w:kinsoku/>
        <w:overflowPunct/>
        <w:topLinePunct w:val="0"/>
        <w:autoSpaceDE/>
        <w:autoSpaceDN/>
        <w:bidi w:val="0"/>
        <w:spacing w:line="440" w:lineRule="exact"/>
        <w:ind w:left="0"/>
        <w:textAlignment w:val="auto"/>
        <w:rPr>
          <w:rFonts w:hint="default" w:eastAsia="仿宋_GB2312"/>
          <w:sz w:val="24"/>
          <w:szCs w:val="24"/>
        </w:rPr>
      </w:pPr>
      <w:r>
        <w:rPr>
          <w:rFonts w:eastAsia="仿宋_GB2312"/>
          <w:sz w:val="24"/>
          <w:szCs w:val="24"/>
        </w:rPr>
        <w:t>甲方（盖章）：                  乙方（盖章）：</w:t>
      </w:r>
    </w:p>
    <w:p>
      <w:pPr>
        <w:pStyle w:val="3"/>
        <w:keepNext w:val="0"/>
        <w:keepLines w:val="0"/>
        <w:pageBreakBefore w:val="0"/>
        <w:kinsoku/>
        <w:overflowPunct/>
        <w:topLinePunct w:val="0"/>
        <w:autoSpaceDE/>
        <w:autoSpaceDN/>
        <w:bidi w:val="0"/>
        <w:spacing w:line="440" w:lineRule="exact"/>
        <w:textAlignment w:val="auto"/>
        <w:rPr>
          <w:rFonts w:ascii="宋体" w:hAnsi="宋体" w:eastAsia="仿宋_GB2312"/>
          <w:sz w:val="24"/>
          <w:szCs w:val="24"/>
        </w:rPr>
      </w:pPr>
      <w:r>
        <w:rPr>
          <w:rFonts w:hint="eastAsia" w:ascii="宋体" w:hAnsi="宋体" w:eastAsia="仿宋_GB2312"/>
          <w:sz w:val="24"/>
          <w:szCs w:val="24"/>
        </w:rPr>
        <w:t>法定代表人                               法定代表人</w:t>
      </w:r>
    </w:p>
    <w:p>
      <w:pPr>
        <w:keepNext w:val="0"/>
        <w:keepLines w:val="0"/>
        <w:pageBreakBefore w:val="0"/>
        <w:kinsoku/>
        <w:overflowPunct/>
        <w:topLinePunct w:val="0"/>
        <w:autoSpaceDE/>
        <w:autoSpaceDN/>
        <w:bidi w:val="0"/>
        <w:spacing w:line="440" w:lineRule="exact"/>
        <w:textAlignment w:val="auto"/>
        <w:rPr>
          <w:sz w:val="24"/>
          <w:szCs w:val="24"/>
        </w:rPr>
      </w:pPr>
      <w:r>
        <w:rPr>
          <w:rFonts w:hint="eastAsia"/>
          <w:sz w:val="24"/>
          <w:szCs w:val="24"/>
        </w:rPr>
        <w:t>或委托代理人（签字）：                   或委托代理人（签字）：</w:t>
      </w:r>
    </w:p>
    <w:p>
      <w:pPr>
        <w:pStyle w:val="3"/>
        <w:keepNext w:val="0"/>
        <w:keepLines w:val="0"/>
        <w:pageBreakBefore w:val="0"/>
        <w:kinsoku/>
        <w:overflowPunct/>
        <w:topLinePunct w:val="0"/>
        <w:autoSpaceDE/>
        <w:autoSpaceDN/>
        <w:bidi w:val="0"/>
        <w:spacing w:line="440" w:lineRule="exact"/>
        <w:textAlignment w:val="auto"/>
        <w:rPr>
          <w:rFonts w:ascii="宋体" w:hAnsi="宋体" w:eastAsia="仿宋_GB2312"/>
          <w:sz w:val="24"/>
          <w:szCs w:val="24"/>
        </w:rPr>
      </w:pPr>
      <w:r>
        <w:rPr>
          <w:rFonts w:hint="eastAsia" w:ascii="宋体" w:hAnsi="宋体" w:eastAsia="仿宋_GB2312"/>
          <w:sz w:val="24"/>
          <w:szCs w:val="24"/>
        </w:rPr>
        <w:t>联系电话：                               联系电话：</w:t>
      </w:r>
    </w:p>
    <w:p>
      <w:pPr>
        <w:keepNext w:val="0"/>
        <w:keepLines w:val="0"/>
        <w:pageBreakBefore w:val="0"/>
        <w:kinsoku/>
        <w:overflowPunct/>
        <w:topLinePunct w:val="0"/>
        <w:autoSpaceDE/>
        <w:autoSpaceDN/>
        <w:bidi w:val="0"/>
        <w:spacing w:line="440" w:lineRule="exact"/>
        <w:textAlignment w:val="auto"/>
        <w:rPr>
          <w:sz w:val="24"/>
          <w:szCs w:val="24"/>
        </w:rPr>
      </w:pPr>
      <w:r>
        <w:rPr>
          <w:rFonts w:hint="eastAsia"/>
          <w:sz w:val="24"/>
          <w:szCs w:val="24"/>
        </w:rPr>
        <w:t xml:space="preserve">应急联络人：                             </w:t>
      </w:r>
    </w:p>
    <w:p>
      <w:pPr>
        <w:keepNext w:val="0"/>
        <w:keepLines w:val="0"/>
        <w:pageBreakBefore w:val="0"/>
        <w:kinsoku/>
        <w:overflowPunct/>
        <w:topLinePunct w:val="0"/>
        <w:autoSpaceDE/>
        <w:autoSpaceDN/>
        <w:bidi w:val="0"/>
        <w:spacing w:line="440" w:lineRule="exact"/>
        <w:textAlignment w:val="auto"/>
        <w:rPr>
          <w:sz w:val="24"/>
          <w:szCs w:val="24"/>
        </w:rPr>
      </w:pPr>
      <w:r>
        <w:rPr>
          <w:rFonts w:hint="eastAsia"/>
          <w:sz w:val="24"/>
          <w:szCs w:val="24"/>
        </w:rPr>
        <w:t>应急联络人电话：</w:t>
      </w:r>
    </w:p>
    <w:p>
      <w:pPr>
        <w:keepNext w:val="0"/>
        <w:keepLines w:val="0"/>
        <w:pageBreakBefore w:val="0"/>
        <w:kinsoku/>
        <w:overflowPunct/>
        <w:topLinePunct w:val="0"/>
        <w:autoSpaceDE/>
        <w:autoSpaceDN/>
        <w:bidi w:val="0"/>
        <w:spacing w:line="440" w:lineRule="exact"/>
        <w:textAlignment w:val="auto"/>
        <w:rPr>
          <w:sz w:val="24"/>
          <w:szCs w:val="24"/>
        </w:rPr>
        <w:sectPr>
          <w:footerReference r:id="rId3" w:type="default"/>
          <w:pgSz w:w="11906" w:h="16838"/>
          <w:pgMar w:top="2098" w:right="1474" w:bottom="1304" w:left="1587" w:header="851" w:footer="1304" w:gutter="0"/>
          <w:cols w:space="0" w:num="1"/>
          <w:docGrid w:type="lines" w:linePitch="447" w:charSpace="0"/>
        </w:sectPr>
      </w:pPr>
      <w:r>
        <w:rPr>
          <w:rFonts w:hint="eastAsia"/>
          <w:sz w:val="24"/>
          <w:szCs w:val="24"/>
        </w:rPr>
        <w:t xml:space="preserve">          年    月    日                              年    月    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方正小标宋简体" w:cs="方正小标宋简体"/>
          <w:sz w:val="36"/>
          <w:szCs w:val="36"/>
        </w:rPr>
      </w:pPr>
      <w:r>
        <w:rPr>
          <w:rFonts w:hint="eastAsia" w:eastAsia="方正小标宋简体" w:cs="方正小标宋简体"/>
          <w:sz w:val="36"/>
          <w:szCs w:val="36"/>
        </w:rPr>
        <w:t>通 用 条 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cs="黑体"/>
          <w:sz w:val="24"/>
          <w:szCs w:val="24"/>
        </w:rPr>
      </w:pPr>
      <w:r>
        <w:rPr>
          <w:rFonts w:hint="eastAsia" w:eastAsia="黑体" w:cs="黑体"/>
          <w:sz w:val="24"/>
          <w:szCs w:val="24"/>
        </w:rPr>
        <w:t>一、安全和服务责任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1.甲方应当建立健全安全管理制度，明确安全负责人，制定有关燃气设施、用气设备等操作规程、检修规程、安全巡检制度，对其从事燃气设施、用气设备操作、运行、维护的作业人员进行燃气安全知识和岗位安全操作技能培训。对用气场所、燃气燃烧器具</w:t>
      </w:r>
      <w:r>
        <w:rPr>
          <w:rFonts w:hint="eastAsia"/>
          <w:sz w:val="24"/>
          <w:szCs w:val="24"/>
          <w:lang w:eastAsia="zh-CN"/>
        </w:rPr>
        <w:t>等</w:t>
      </w:r>
      <w:r>
        <w:rPr>
          <w:rFonts w:hint="eastAsia"/>
          <w:sz w:val="24"/>
          <w:szCs w:val="24"/>
        </w:rPr>
        <w:t>进行日常检查，配合乙方的入户安全检查，及时整改安全用气隐患。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2.餐饮等行业的非居民用户使用瓶装燃气的，应当安装可燃气体报警装置，并保障其正常使用。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3.甲方发现室（户）内燃气泄漏等故障时先关闭气瓶角阀，并向乙方报修。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4.甲方购气时，乙方直接配送上门，并负责对用气场所、燃气燃烧器具进行安全检查，对燃气系统与气瓶进行连接，并检查燃气系统连接气密性，记录存档。乙方应每年</w:t>
      </w:r>
      <w:r>
        <w:rPr>
          <w:rFonts w:hint="eastAsia"/>
          <w:sz w:val="24"/>
          <w:szCs w:val="24"/>
          <w:lang w:eastAsia="zh-CN"/>
        </w:rPr>
        <w:t>至少</w:t>
      </w:r>
      <w:r>
        <w:rPr>
          <w:rFonts w:hint="eastAsia"/>
          <w:sz w:val="24"/>
          <w:szCs w:val="24"/>
        </w:rPr>
        <w:t>对甲方用气场所、燃气燃烧器具进行</w:t>
      </w:r>
      <w:r>
        <w:rPr>
          <w:rFonts w:hint="eastAsia"/>
          <w:sz w:val="24"/>
          <w:szCs w:val="24"/>
          <w:lang w:eastAsia="zh-CN"/>
        </w:rPr>
        <w:t>一次</w:t>
      </w:r>
      <w:r>
        <w:rPr>
          <w:rFonts w:hint="eastAsia"/>
          <w:sz w:val="24"/>
          <w:szCs w:val="24"/>
        </w:rPr>
        <w:t>免费入户安全检查。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5.</w:t>
      </w:r>
      <w:r>
        <w:rPr>
          <w:sz w:val="24"/>
          <w:szCs w:val="24"/>
        </w:rPr>
        <w:t>乙方应向甲方发放安全用气手册，宣传安全使用常识，指导甲方安全使用燃气。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6.因甲方原因导致气瓶毁损、丢失的，乙方扣减气瓶押金。</w:t>
      </w:r>
    </w:p>
    <w:p>
      <w:pPr>
        <w:keepNext w:val="0"/>
        <w:keepLines w:val="0"/>
        <w:pageBreakBefore w:val="0"/>
        <w:kinsoku/>
        <w:wordWrap/>
        <w:overflowPunct/>
        <w:topLinePunct w:val="0"/>
        <w:autoSpaceDE/>
        <w:autoSpaceDN/>
        <w:bidi w:val="0"/>
        <w:spacing w:line="360" w:lineRule="exact"/>
        <w:ind w:left="0" w:firstLine="480" w:firstLineChars="200"/>
        <w:textAlignment w:val="auto"/>
        <w:rPr>
          <w:sz w:val="24"/>
          <w:szCs w:val="24"/>
        </w:rPr>
      </w:pPr>
      <w:r>
        <w:rPr>
          <w:rFonts w:hint="eastAsia"/>
          <w:sz w:val="24"/>
          <w:szCs w:val="24"/>
        </w:rPr>
        <w:t>7.甲方使用的气瓶在检验周期、报废期限到期前三十日的，乙方应通知甲方</w:t>
      </w:r>
      <w:r>
        <w:rPr>
          <w:rFonts w:hint="eastAsia"/>
          <w:sz w:val="24"/>
          <w:szCs w:val="24"/>
          <w:lang w:eastAsia="zh-CN"/>
        </w:rPr>
        <w:t>，双方约定更换气瓶时间</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8.乙方为甲方配送上门时，乙方应登记甲方气瓶接收人的身份信息，并实行信息化管理。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lang w:val="en-US" w:eastAsia="zh-CN"/>
        </w:rPr>
        <w:t>9</w:t>
      </w:r>
      <w:r>
        <w:rPr>
          <w:rFonts w:hint="eastAsia"/>
          <w:sz w:val="24"/>
          <w:szCs w:val="24"/>
        </w:rPr>
        <w:t>.乙方发现甲方用气场所、燃气燃烧器具等存在安全隐患的，应书面告知整改建议，</w:t>
      </w:r>
      <w:r>
        <w:rPr>
          <w:rFonts w:hint="eastAsia"/>
          <w:sz w:val="24"/>
          <w:szCs w:val="24"/>
          <w:lang w:eastAsia="zh-CN"/>
        </w:rPr>
        <w:t>甲方应及时整改</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1</w:t>
      </w:r>
      <w:r>
        <w:rPr>
          <w:rFonts w:hint="eastAsia"/>
          <w:sz w:val="24"/>
          <w:szCs w:val="24"/>
          <w:lang w:val="en-US" w:eastAsia="zh-CN"/>
        </w:rPr>
        <w:t>0</w:t>
      </w:r>
      <w:r>
        <w:rPr>
          <w:rFonts w:hint="eastAsia"/>
          <w:sz w:val="24"/>
          <w:szCs w:val="24"/>
        </w:rPr>
        <w:t>.甲方禁止实施下列行为：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（1）利用气瓶倒装燃气，摔、砸、滚动、倒置气瓶，加热气瓶、倾倒瓶内残液或者拆修瓶阀等附件；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（2）发现燃气设施或者燃气燃烧器具异常、燃气泄漏时，在现场使用明火、开关电器或者拨打电话；</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（3）无正当理由拒绝入户安全检查，或者拒不整改用气安全隐患；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（4）安装、使用不带熄火保护功能或使用期限超过8年的燃气燃烧器具；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（5）严禁在同一房间内同时使用液化气和其他气源及明火（如煤火、柴火等）；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（6）禁止在</w:t>
      </w:r>
      <w:r>
        <w:rPr>
          <w:rFonts w:hint="eastAsia"/>
          <w:sz w:val="24"/>
          <w:szCs w:val="24"/>
          <w:lang w:eastAsia="zh-CN"/>
        </w:rPr>
        <w:t>住宅</w:t>
      </w:r>
      <w:r>
        <w:rPr>
          <w:rFonts w:hint="eastAsia"/>
          <w:sz w:val="24"/>
          <w:szCs w:val="24"/>
        </w:rPr>
        <w:t>建筑（2</w:t>
      </w:r>
      <w:r>
        <w:rPr>
          <w:sz w:val="24"/>
          <w:szCs w:val="24"/>
        </w:rPr>
        <w:t>7</w:t>
      </w:r>
      <w:r>
        <w:rPr>
          <w:rFonts w:hint="eastAsia"/>
          <w:sz w:val="24"/>
          <w:szCs w:val="24"/>
        </w:rPr>
        <w:t>米以上）、地下、半地下空间内和有人员居住的房间内使用液化石油气。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（7）餐饮用户使用气液两用瓶装燃气的;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（8）存放气瓶的场所与公共建筑和居民住宅建筑的距离不符合国家和省规定的安全要求的;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cs="黑体"/>
          <w:sz w:val="24"/>
          <w:szCs w:val="24"/>
        </w:rPr>
      </w:pPr>
      <w:r>
        <w:rPr>
          <w:rFonts w:hint="eastAsia" w:eastAsia="黑体" w:cs="黑体"/>
          <w:sz w:val="24"/>
          <w:szCs w:val="24"/>
        </w:rPr>
        <w:t>二、违约责任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1.甲方拒绝乙方入户安全检查、拒不整改危及公共安全的燃气隐患并经劝阻无效的，乙方在履行书面告知义务后，可暂停售气。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2.甲方违反法律法规、标准规范、安全用气须知以及本合同规定使用液化气造成事故的，由甲方承担责任；给其他方造成损失的，甲方应承担赔偿责任。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3.乙方未按照约定周期及作业内容进行安全巡检、发现甲方用气场所和燃气燃烧器具存在安全隐患未向甲方书面告知，导致发生燃气安全事故，给甲方和其他方造成损失的，乙方应承担相应赔偿责任。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4.因乙方提供的燃气不符合国家标准，导致甲方在用气过程中产生安全事故，造成人身伤害或死亡的，由乙方承担全部责任，并赔偿相应损失。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5.甲方向本合同约定以外的单位或个人购买液化石油气的，本合同自动解除。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eastAsia="黑体" w:cs="黑体"/>
          <w:sz w:val="24"/>
          <w:szCs w:val="24"/>
        </w:rPr>
      </w:pPr>
      <w:r>
        <w:rPr>
          <w:rFonts w:hint="eastAsia" w:eastAsia="黑体" w:cs="黑体"/>
          <w:sz w:val="24"/>
          <w:szCs w:val="24"/>
        </w:rPr>
        <w:t>三、合同解除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sz w:val="24"/>
          <w:szCs w:val="24"/>
        </w:rPr>
        <w:t>履行期内甲方可随时要求终止合同。</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Yzc0ZGU4NzhjNzk3NmEzOWVmOTg2ZDJiM2NkNDUifQ=="/>
  </w:docVars>
  <w:rsids>
    <w:rsidRoot w:val="62F95472"/>
    <w:rsid w:val="00232FB7"/>
    <w:rsid w:val="00327BC3"/>
    <w:rsid w:val="00446A4A"/>
    <w:rsid w:val="006E6B20"/>
    <w:rsid w:val="007546DA"/>
    <w:rsid w:val="00AD67B6"/>
    <w:rsid w:val="00BE255D"/>
    <w:rsid w:val="00C90C03"/>
    <w:rsid w:val="17FABB6B"/>
    <w:rsid w:val="1BBB86F5"/>
    <w:rsid w:val="1FF6536A"/>
    <w:rsid w:val="233C4432"/>
    <w:rsid w:val="377D024D"/>
    <w:rsid w:val="47EC6D43"/>
    <w:rsid w:val="57FFE30C"/>
    <w:rsid w:val="62F95472"/>
    <w:rsid w:val="6BFE4CF8"/>
    <w:rsid w:val="7B57E113"/>
    <w:rsid w:val="A9766D1D"/>
    <w:rsid w:val="BBFE0CE2"/>
    <w:rsid w:val="DFF5F66A"/>
    <w:rsid w:val="FF7E0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14"/>
    </w:pPr>
    <w:rPr>
      <w:rFonts w:hint="eastAsia" w:eastAsia="宋体"/>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rFonts w:ascii="宋体" w:hAnsi="宋体" w:eastAsia="仿宋_GB2312"/>
      <w:snapToGrid w:val="0"/>
      <w:kern w:val="32"/>
      <w:sz w:val="18"/>
      <w:szCs w:val="18"/>
    </w:rPr>
  </w:style>
  <w:style w:type="character" w:customStyle="1" w:styleId="10">
    <w:name w:val="页脚 字符"/>
    <w:basedOn w:val="8"/>
    <w:link w:val="4"/>
    <w:qFormat/>
    <w:uiPriority w:val="0"/>
    <w:rPr>
      <w:rFonts w:ascii="宋体" w:hAnsi="宋体" w:eastAsia="仿宋_GB2312"/>
      <w:snapToGrid w:val="0"/>
      <w:kern w:val="3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704</Words>
  <Characters>4013</Characters>
  <Lines>33</Lines>
  <Paragraphs>9</Paragraphs>
  <TotalTime>112</TotalTime>
  <ScaleCrop>false</ScaleCrop>
  <LinksUpToDate>false</LinksUpToDate>
  <CharactersWithSpaces>4708</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2021-01-22T11:26:00Z</dcterms:created>
  <dc:creator>张洪涛</dc:creator>
  <cp:lastModifiedBy>fushunshi</cp:lastModifiedBy>
  <cp:lastPrinted>2024-03-29T17:25:00Z</cp:lastPrinted>
  <dcterms:modified xsi:type="dcterms:W3CDTF">2024-05-09T11:02:04Z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7F453F7922F6478B847326DABB87D8B1</vt:lpwstr>
  </property>
</Properties>
</file>