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ascii="黑体" w:hAnsi="黑体" w:eastAsia="黑体"/>
          <w:sz w:val="44"/>
          <w:szCs w:val="44"/>
        </w:rPr>
      </w:pPr>
      <w:r>
        <w:rPr>
          <w:rFonts w:hint="eastAsia" w:ascii="黑体" w:hAnsi="黑体" w:eastAsia="黑体"/>
          <w:sz w:val="44"/>
          <w:szCs w:val="44"/>
        </w:rPr>
        <w:t>抚顺市环卫工人工资专用账户</w:t>
      </w:r>
    </w:p>
    <w:p>
      <w:pPr>
        <w:ind w:left="0" w:leftChars="0" w:firstLine="0" w:firstLineChars="0"/>
        <w:jc w:val="center"/>
        <w:rPr>
          <w:rFonts w:ascii="黑体" w:hAnsi="黑体" w:eastAsia="黑体"/>
          <w:sz w:val="44"/>
          <w:szCs w:val="44"/>
        </w:rPr>
      </w:pPr>
      <w:r>
        <w:rPr>
          <w:rFonts w:hint="eastAsia" w:ascii="黑体" w:hAnsi="黑体" w:eastAsia="黑体"/>
          <w:sz w:val="44"/>
          <w:szCs w:val="44"/>
        </w:rPr>
        <w:t>管理实施细则</w:t>
      </w:r>
      <w:bookmarkStart w:id="0" w:name="_GoBack"/>
      <w:bookmarkEnd w:id="0"/>
    </w:p>
    <w:p>
      <w:pPr>
        <w:ind w:left="0" w:leftChars="0" w:firstLine="0" w:firstLineChars="0"/>
        <w:jc w:val="center"/>
        <w:rPr>
          <w:rFonts w:ascii="黑体" w:hAnsi="黑体" w:eastAsia="黑体"/>
          <w:sz w:val="32"/>
          <w:szCs w:val="44"/>
        </w:rPr>
      </w:pPr>
      <w:r>
        <w:rPr>
          <w:rFonts w:hint="eastAsia" w:ascii="黑体" w:hAnsi="黑体" w:eastAsia="黑体"/>
          <w:sz w:val="32"/>
          <w:szCs w:val="44"/>
        </w:rPr>
        <w:t>（征求意见稿）</w:t>
      </w:r>
    </w:p>
    <w:p>
      <w:pPr>
        <w:pStyle w:val="2"/>
        <w:shd w:val="clear" w:color="auto" w:fill="FFFFFF"/>
        <w:spacing w:before="0" w:beforeAutospacing="0" w:after="0" w:afterAutospacing="0" w:line="480" w:lineRule="atLeast"/>
        <w:ind w:firstLine="640" w:firstLineChars="200"/>
        <w:rPr>
          <w:rFonts w:ascii="仿宋" w:hAnsi="仿宋" w:eastAsia="仿宋"/>
          <w:color w:val="000000" w:themeColor="text1"/>
          <w:sz w:val="32"/>
          <w:szCs w:val="32"/>
          <w14:textFill>
            <w14:solidFill>
              <w14:schemeClr w14:val="tx1"/>
            </w14:solidFill>
          </w14:textFill>
        </w:rPr>
      </w:pPr>
      <w:r>
        <w:rPr>
          <w:rFonts w:ascii="Segoe UI" w:hAnsi="Segoe UI" w:eastAsia="仿宋" w:cs="Segoe UI"/>
          <w:color w:val="222222"/>
          <w:sz w:val="32"/>
          <w:szCs w:val="32"/>
        </w:rPr>
        <w:t>第一条</w:t>
      </w:r>
      <w:r>
        <w:rPr>
          <w:rFonts w:hint="eastAsia" w:ascii="Segoe UI" w:hAnsi="Segoe UI" w:eastAsia="仿宋" w:cs="Segoe UI"/>
          <w:color w:val="222222"/>
          <w:sz w:val="32"/>
          <w:szCs w:val="32"/>
          <w:lang w:eastAsia="zh-CN"/>
        </w:rPr>
        <w:t>为</w:t>
      </w:r>
      <w:r>
        <w:rPr>
          <w:rFonts w:ascii="Segoe UI" w:hAnsi="Segoe UI" w:eastAsia="仿宋" w:cs="Segoe UI"/>
          <w:color w:val="222222"/>
          <w:sz w:val="32"/>
          <w:szCs w:val="32"/>
        </w:rPr>
        <w:t>加强环卫工人工资管理，切实维护环卫工人劳动报酬权益，规范城市环卫工人工资专用账户开立和管理，根据《中华人民共和国劳动法》《保障农民工工资支付条例》《人民币银行结算账户管理办法》《住房城乡建设部等4部门关于建立城市环卫工人工资专用账户制度的通知》（城建〔2025〕39号）等有关规定要求</w:t>
      </w:r>
      <w:r>
        <w:rPr>
          <w:rFonts w:ascii="Segoe UI" w:hAnsi="Segoe UI" w:eastAsia="仿宋" w:cs="Segoe UI"/>
          <w:color w:val="000000" w:themeColor="text1"/>
          <w:sz w:val="32"/>
          <w:szCs w:val="32"/>
          <w14:textFill>
            <w14:solidFill>
              <w14:schemeClr w14:val="tx1"/>
            </w14:solidFill>
          </w14:textFill>
        </w:rPr>
        <w:t>，</w:t>
      </w:r>
      <w:r>
        <w:rPr>
          <w:rFonts w:hint="eastAsia" w:ascii="Segoe UI" w:hAnsi="Segoe UI" w:eastAsia="仿宋" w:cs="Segoe UI"/>
          <w:color w:val="000000" w:themeColor="text1"/>
          <w:sz w:val="32"/>
          <w:szCs w:val="32"/>
          <w:lang w:eastAsia="zh-CN"/>
          <w14:textFill>
            <w14:solidFill>
              <w14:schemeClr w14:val="tx1"/>
            </w14:solidFill>
          </w14:textFill>
        </w:rPr>
        <w:t>结合我市实际，</w:t>
      </w:r>
      <w:r>
        <w:rPr>
          <w:rFonts w:ascii="Segoe UI" w:hAnsi="Segoe UI" w:eastAsia="仿宋" w:cs="Segoe UI"/>
          <w:color w:val="000000" w:themeColor="text1"/>
          <w:sz w:val="32"/>
          <w:szCs w:val="32"/>
          <w14:textFill>
            <w14:solidFill>
              <w14:schemeClr w14:val="tx1"/>
            </w14:solidFill>
          </w14:textFill>
        </w:rPr>
        <w:t>制定本实施细则。</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第二条</w:t>
      </w:r>
      <w:r>
        <w:rPr>
          <w:rFonts w:hint="eastAsia" w:ascii="仿宋" w:hAnsi="仿宋" w:eastAsia="仿宋"/>
          <w:color w:val="000000" w:themeColor="text1"/>
          <w:sz w:val="32"/>
          <w:szCs w:val="32"/>
          <w:lang w:eastAsia="zh-CN"/>
          <w14:textFill>
            <w14:solidFill>
              <w14:schemeClr w14:val="tx1"/>
            </w14:solidFill>
          </w14:textFill>
        </w:rPr>
        <w:t>本市城区内</w:t>
      </w:r>
      <w:r>
        <w:rPr>
          <w:rFonts w:hint="eastAsia" w:ascii="仿宋" w:hAnsi="仿宋" w:eastAsia="仿宋"/>
          <w:color w:val="000000" w:themeColor="text1"/>
          <w:sz w:val="32"/>
          <w:szCs w:val="32"/>
          <w14:textFill>
            <w14:solidFill>
              <w14:schemeClr w14:val="tx1"/>
            </w14:solidFill>
          </w14:textFill>
        </w:rPr>
        <w:t>城市道路水域清扫保洁（除雪），生活垃圾、粪便收集运输，公厕运维等环卫相关服务项目</w:t>
      </w:r>
      <w:r>
        <w:rPr>
          <w:rFonts w:hint="eastAsia" w:ascii="仿宋" w:hAnsi="仿宋" w:eastAsia="仿宋"/>
          <w:color w:val="000000" w:themeColor="text1"/>
          <w:sz w:val="32"/>
          <w:szCs w:val="32"/>
          <w:lang w:eastAsia="zh-CN"/>
          <w14:textFill>
            <w14:solidFill>
              <w14:schemeClr w14:val="tx1"/>
            </w14:solidFill>
          </w14:textFill>
        </w:rPr>
        <w:t>，适用本细则。</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第三条本细则所称</w:t>
      </w:r>
      <w:r>
        <w:rPr>
          <w:rFonts w:hint="eastAsia" w:ascii="仿宋" w:hAnsi="仿宋" w:eastAsia="仿宋"/>
          <w:b/>
          <w:color w:val="222222"/>
          <w:sz w:val="32"/>
          <w:szCs w:val="32"/>
        </w:rPr>
        <w:t>委托单位</w:t>
      </w:r>
      <w:r>
        <w:rPr>
          <w:rFonts w:hint="eastAsia" w:ascii="仿宋" w:hAnsi="仿宋" w:eastAsia="仿宋"/>
          <w:color w:val="222222"/>
          <w:sz w:val="32"/>
          <w:szCs w:val="32"/>
        </w:rPr>
        <w:t>是指委托</w:t>
      </w:r>
      <w:r>
        <w:rPr>
          <w:rFonts w:hint="eastAsia" w:ascii="仿宋" w:hAnsi="仿宋" w:eastAsia="仿宋"/>
          <w:b/>
          <w:color w:val="222222"/>
          <w:sz w:val="32"/>
          <w:szCs w:val="32"/>
        </w:rPr>
        <w:t>环卫运营单位</w:t>
      </w:r>
      <w:r>
        <w:rPr>
          <w:rFonts w:hint="eastAsia" w:ascii="仿宋" w:hAnsi="仿宋" w:eastAsia="仿宋"/>
          <w:color w:val="222222"/>
          <w:sz w:val="32"/>
          <w:szCs w:val="32"/>
        </w:rPr>
        <w:t>提供环卫项目服务的</w:t>
      </w:r>
      <w:r>
        <w:rPr>
          <w:rFonts w:hint="eastAsia" w:ascii="仿宋" w:hAnsi="仿宋" w:eastAsia="仿宋"/>
          <w:color w:val="222222"/>
          <w:sz w:val="32"/>
          <w:szCs w:val="32"/>
          <w:lang w:eastAsia="zh-CN"/>
        </w:rPr>
        <w:t>各城区</w:t>
      </w:r>
      <w:r>
        <w:rPr>
          <w:rFonts w:hint="eastAsia" w:ascii="仿宋" w:hAnsi="仿宋" w:eastAsia="仿宋"/>
          <w:color w:val="222222"/>
          <w:sz w:val="32"/>
          <w:szCs w:val="32"/>
        </w:rPr>
        <w:t>政府部门及其派出机构；</w:t>
      </w:r>
    </w:p>
    <w:p>
      <w:pPr>
        <w:pStyle w:val="2"/>
        <w:shd w:val="clear" w:color="auto" w:fill="FFFFFF"/>
        <w:spacing w:before="0" w:beforeAutospacing="0" w:after="0" w:afterAutospacing="0" w:line="480" w:lineRule="atLeast"/>
        <w:ind w:firstLine="642" w:firstLineChars="200"/>
        <w:jc w:val="both"/>
        <w:rPr>
          <w:rFonts w:ascii="仿宋" w:hAnsi="仿宋" w:eastAsia="仿宋"/>
          <w:color w:val="222222"/>
          <w:sz w:val="32"/>
          <w:szCs w:val="32"/>
        </w:rPr>
      </w:pPr>
      <w:r>
        <w:rPr>
          <w:rFonts w:hint="eastAsia" w:ascii="仿宋" w:hAnsi="仿宋" w:eastAsia="仿宋"/>
          <w:b/>
          <w:color w:val="222222"/>
          <w:sz w:val="32"/>
          <w:szCs w:val="32"/>
        </w:rPr>
        <w:t>环卫运营单位</w:t>
      </w:r>
      <w:r>
        <w:rPr>
          <w:rFonts w:hint="eastAsia" w:ascii="仿宋" w:hAnsi="仿宋" w:eastAsia="仿宋"/>
          <w:color w:val="222222"/>
          <w:sz w:val="32"/>
          <w:szCs w:val="32"/>
        </w:rPr>
        <w:t>是指承担城市道路水域清扫保洁（除雪），生活垃圾、粪便收集运输，公厕运维等环卫服务项目（以下简称环卫项目）的</w:t>
      </w:r>
      <w:r>
        <w:rPr>
          <w:rFonts w:hint="eastAsia" w:ascii="仿宋" w:hAnsi="仿宋" w:eastAsia="仿宋"/>
          <w:b/>
          <w:color w:val="222222"/>
          <w:sz w:val="32"/>
          <w:szCs w:val="32"/>
        </w:rPr>
        <w:t>企事业单位</w:t>
      </w:r>
      <w:r>
        <w:rPr>
          <w:rFonts w:hint="eastAsia" w:ascii="仿宋" w:hAnsi="仿宋" w:eastAsia="仿宋"/>
          <w:color w:val="222222"/>
          <w:sz w:val="32"/>
          <w:szCs w:val="32"/>
        </w:rPr>
        <w:t>；</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环卫工人，是指从事城市道路水域清扫保洁（除雪），生活垃圾、粪便收集运输，公厕运维等环卫作业的人员；</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环卫工人工资专用账户（以下简称专用账户），是指环卫</w:t>
      </w:r>
      <w:r>
        <w:rPr>
          <w:rFonts w:hint="eastAsia" w:ascii="仿宋" w:hAnsi="仿宋" w:eastAsia="仿宋"/>
          <w:color w:val="000000" w:themeColor="text1"/>
          <w:sz w:val="32"/>
          <w:szCs w:val="32"/>
          <w:lang w:eastAsia="zh-CN"/>
          <w14:textFill>
            <w14:solidFill>
              <w14:schemeClr w14:val="tx1"/>
            </w14:solidFill>
          </w14:textFill>
        </w:rPr>
        <w:t>企业</w:t>
      </w:r>
      <w:r>
        <w:rPr>
          <w:rFonts w:hint="eastAsia" w:ascii="仿宋" w:hAnsi="仿宋" w:eastAsia="仿宋"/>
          <w:color w:val="222222"/>
          <w:sz w:val="32"/>
          <w:szCs w:val="32"/>
        </w:rPr>
        <w:t>在环卫项目所在地银行业金融机构（以下简称银行）开立的，专项用于支付环卫工人工资的专用存款账户；</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四</w:t>
      </w:r>
      <w:r>
        <w:rPr>
          <w:rFonts w:hint="eastAsia" w:ascii="仿宋" w:hAnsi="仿宋" w:eastAsia="仿宋"/>
          <w:color w:val="222222"/>
          <w:sz w:val="32"/>
          <w:szCs w:val="32"/>
        </w:rPr>
        <w:t>条</w:t>
      </w:r>
      <w:r>
        <w:rPr>
          <w:rFonts w:hint="eastAsia" w:ascii="仿宋" w:hAnsi="仿宋" w:eastAsia="仿宋"/>
          <w:color w:val="222222"/>
          <w:sz w:val="32"/>
          <w:szCs w:val="32"/>
          <w:lang w:eastAsia="zh-CN"/>
        </w:rPr>
        <w:t>市环境卫生主管部门是环卫工人工资专用账户监管的行政主管部门，对全市专用账户的开设及支付情况实施监督指导。</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lang w:eastAsia="zh-CN"/>
        </w:rPr>
        <w:t>区环卫主管部门负责辖区内环卫项目专用账户的设立、环卫工人工资的支付负监管和协调责任。</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lang w:eastAsia="zh-CN"/>
        </w:rPr>
        <w:t>环卫运营单位对招用的环卫工人工资支付负直接责任。</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lang w:eastAsia="zh-CN"/>
        </w:rPr>
        <w:t>人力资源社会保障部</w:t>
      </w:r>
      <w:r>
        <w:rPr>
          <w:rFonts w:hint="eastAsia" w:ascii="仿宋" w:hAnsi="仿宋" w:eastAsia="仿宋"/>
          <w:color w:val="000000" w:themeColor="text1"/>
          <w:sz w:val="32"/>
          <w:szCs w:val="32"/>
          <w:lang w:eastAsia="zh-CN"/>
          <w14:textFill>
            <w14:solidFill>
              <w14:schemeClr w14:val="tx1"/>
            </w14:solidFill>
          </w14:textFill>
        </w:rPr>
        <w:t>门依法</w:t>
      </w:r>
      <w:r>
        <w:rPr>
          <w:rFonts w:hint="eastAsia" w:ascii="仿宋" w:hAnsi="仿宋" w:eastAsia="仿宋"/>
          <w:color w:val="222222"/>
          <w:sz w:val="32"/>
          <w:szCs w:val="32"/>
          <w:lang w:eastAsia="zh-CN"/>
        </w:rPr>
        <w:t>对环卫工人工资支付情况进行监督检查。</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000000" w:themeColor="text1"/>
          <w:sz w:val="32"/>
          <w:szCs w:val="32"/>
          <w14:textFill>
            <w14:solidFill>
              <w14:schemeClr w14:val="tx1"/>
            </w14:solidFill>
          </w14:textFill>
        </w:rPr>
        <w:t>中国人民银行抚顺市分行、</w:t>
      </w:r>
      <w:r>
        <w:rPr>
          <w:rFonts w:hint="eastAsia" w:ascii="仿宋" w:hAnsi="仿宋" w:eastAsia="仿宋"/>
          <w:color w:val="000000" w:themeColor="text1"/>
          <w:sz w:val="32"/>
          <w:szCs w:val="32"/>
          <w:lang w:eastAsia="zh-CN"/>
          <w14:textFill>
            <w14:solidFill>
              <w14:schemeClr w14:val="tx1"/>
            </w14:solidFill>
          </w14:textFill>
        </w:rPr>
        <w:t>国家金融监督管理总局抚顺监管分局</w:t>
      </w:r>
      <w:r>
        <w:rPr>
          <w:rFonts w:hint="eastAsia" w:ascii="仿宋" w:hAnsi="仿宋" w:eastAsia="仿宋"/>
          <w:color w:val="222222"/>
          <w:sz w:val="32"/>
          <w:szCs w:val="32"/>
          <w:lang w:eastAsia="zh-CN"/>
        </w:rPr>
        <w:t>要支持银行为专用账户管理提供便利化服务。</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五</w:t>
      </w:r>
      <w:r>
        <w:rPr>
          <w:rFonts w:hint="eastAsia" w:ascii="仿宋" w:hAnsi="仿宋" w:eastAsia="仿宋"/>
          <w:color w:val="222222"/>
          <w:sz w:val="32"/>
          <w:szCs w:val="32"/>
        </w:rPr>
        <w:t>条环卫运营单位承接环卫项目，应</w:t>
      </w:r>
      <w:r>
        <w:rPr>
          <w:rFonts w:hint="eastAsia" w:ascii="仿宋" w:hAnsi="仿宋" w:eastAsia="仿宋"/>
          <w:color w:val="222222"/>
          <w:sz w:val="32"/>
          <w:szCs w:val="32"/>
          <w:lang w:eastAsia="zh-CN"/>
        </w:rPr>
        <w:t>与</w:t>
      </w:r>
      <w:r>
        <w:rPr>
          <w:rFonts w:hint="eastAsia" w:ascii="仿宋" w:hAnsi="仿宋" w:eastAsia="仿宋"/>
          <w:color w:val="222222"/>
          <w:sz w:val="32"/>
          <w:szCs w:val="32"/>
        </w:rPr>
        <w:t>开户银行、委托单位签订《环卫工人工资专用账户管理协议》，并在开户银行开立专用账户。原则上一个环卫项目只能设立一个专用账户，账户名称格式为“环卫运营单位名称+环卫项目名称+环卫工人工资专用账户”。已</w:t>
      </w:r>
      <w:r>
        <w:rPr>
          <w:rFonts w:hint="eastAsia" w:ascii="仿宋" w:hAnsi="仿宋" w:eastAsia="仿宋"/>
          <w:color w:val="222222"/>
          <w:sz w:val="32"/>
          <w:szCs w:val="32"/>
          <w:lang w:eastAsia="zh-CN"/>
        </w:rPr>
        <w:t>运营</w:t>
      </w:r>
      <w:r>
        <w:rPr>
          <w:rFonts w:hint="eastAsia" w:ascii="仿宋" w:hAnsi="仿宋" w:eastAsia="仿宋"/>
          <w:color w:val="222222"/>
          <w:sz w:val="32"/>
          <w:szCs w:val="32"/>
        </w:rPr>
        <w:t>的项目，须签订补充协议，规定环卫工人工资的资金监管。</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六</w:t>
      </w:r>
      <w:r>
        <w:rPr>
          <w:rFonts w:hint="eastAsia" w:ascii="仿宋" w:hAnsi="仿宋" w:eastAsia="仿宋"/>
          <w:color w:val="222222"/>
          <w:sz w:val="32"/>
          <w:szCs w:val="32"/>
        </w:rPr>
        <w:t>条开户银行、环卫运营单位、委托单位三方签订《环卫工人工资专用账户管理协议》，主要包括以下内容：</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（一）协议三方名称、</w:t>
      </w:r>
      <w:r>
        <w:rPr>
          <w:rFonts w:hint="eastAsia" w:ascii="仿宋" w:hAnsi="仿宋" w:eastAsia="仿宋"/>
          <w:color w:val="222222"/>
          <w:sz w:val="32"/>
          <w:szCs w:val="32"/>
          <w:lang w:eastAsia="zh-CN"/>
        </w:rPr>
        <w:t>环卫项目名称</w:t>
      </w:r>
      <w:r>
        <w:rPr>
          <w:rFonts w:hint="eastAsia" w:ascii="仿宋" w:hAnsi="仿宋" w:eastAsia="仿宋"/>
          <w:color w:val="222222"/>
          <w:sz w:val="32"/>
          <w:szCs w:val="32"/>
        </w:rPr>
        <w:t>；</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（二）</w:t>
      </w:r>
      <w:r>
        <w:rPr>
          <w:rFonts w:hint="eastAsia" w:ascii="仿宋" w:hAnsi="仿宋" w:eastAsia="仿宋" w:cs="宋体"/>
          <w:kern w:val="0"/>
          <w:sz w:val="32"/>
          <w:szCs w:val="32"/>
        </w:rPr>
        <w:t>账户设立及管理</w:t>
      </w:r>
      <w:r>
        <w:rPr>
          <w:rFonts w:hint="eastAsia" w:ascii="仿宋" w:hAnsi="仿宋" w:eastAsia="仿宋"/>
          <w:color w:val="222222"/>
          <w:sz w:val="32"/>
          <w:szCs w:val="32"/>
        </w:rPr>
        <w:t>；</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（三）</w:t>
      </w:r>
      <w:r>
        <w:rPr>
          <w:rFonts w:hint="eastAsia" w:ascii="仿宋" w:hAnsi="仿宋" w:eastAsia="仿宋" w:cs="宋体"/>
          <w:kern w:val="0"/>
          <w:sz w:val="32"/>
          <w:szCs w:val="32"/>
        </w:rPr>
        <w:t>职责期限</w:t>
      </w:r>
      <w:r>
        <w:rPr>
          <w:rFonts w:hint="eastAsia" w:ascii="仿宋" w:hAnsi="仿宋" w:eastAsia="仿宋"/>
          <w:color w:val="222222"/>
          <w:sz w:val="32"/>
          <w:szCs w:val="32"/>
        </w:rPr>
        <w:t>；</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（四）工资专户资金的收付；</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rPr>
        <w:t>（五）协议生效与终止</w:t>
      </w:r>
      <w:r>
        <w:rPr>
          <w:rFonts w:hint="eastAsia" w:ascii="仿宋" w:hAnsi="仿宋" w:eastAsia="仿宋"/>
          <w:color w:val="222222"/>
          <w:sz w:val="32"/>
          <w:szCs w:val="32"/>
          <w:lang w:eastAsia="zh-CN"/>
        </w:rPr>
        <w:t>；</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（六）违约责任</w:t>
      </w:r>
      <w:r>
        <w:rPr>
          <w:rFonts w:hint="eastAsia" w:ascii="仿宋" w:hAnsi="仿宋" w:eastAsia="仿宋"/>
          <w:color w:val="222222"/>
          <w:sz w:val="32"/>
          <w:szCs w:val="32"/>
          <w:lang w:eastAsia="zh-CN"/>
        </w:rPr>
        <w:t>和免责条件；</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w:t>
      </w:r>
      <w:r>
        <w:rPr>
          <w:rFonts w:hint="eastAsia" w:ascii="仿宋" w:hAnsi="仿宋" w:eastAsia="仿宋"/>
          <w:color w:val="222222"/>
          <w:sz w:val="32"/>
          <w:szCs w:val="32"/>
          <w:lang w:eastAsia="zh-CN"/>
        </w:rPr>
        <w:t>七</w:t>
      </w:r>
      <w:r>
        <w:rPr>
          <w:rFonts w:hint="eastAsia" w:ascii="仿宋" w:hAnsi="仿宋" w:eastAsia="仿宋"/>
          <w:color w:val="222222"/>
          <w:sz w:val="32"/>
          <w:szCs w:val="32"/>
        </w:rPr>
        <w:t>）约定的其他事项。</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七</w:t>
      </w:r>
      <w:r>
        <w:rPr>
          <w:rFonts w:hint="eastAsia" w:ascii="仿宋" w:hAnsi="仿宋" w:eastAsia="仿宋"/>
          <w:color w:val="222222"/>
          <w:sz w:val="32"/>
          <w:szCs w:val="32"/>
        </w:rPr>
        <w:t>条环卫项目服务合同或环卫项目服务方案到期或终止、环卫运营单位或者开户银行发生变更需要撤销专用账户的，环卫运营单位要及时向委托单位报告，并将本环卫服务项目无拖欠环卫工人工资情况公示30日后，出具无拖欠环卫工人工资承诺书。开户银行依据委托单位提供的同意撤销通知书，按程序办理专用账户撤销手续，专用账户余额归环卫运营单位所有。</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环卫运营单位或者开户银行发生变更，</w:t>
      </w:r>
      <w:r>
        <w:rPr>
          <w:rFonts w:hint="eastAsia" w:ascii="仿宋" w:hAnsi="仿宋" w:eastAsia="仿宋"/>
          <w:strike/>
          <w:dstrike w:val="0"/>
          <w:color w:val="222222"/>
          <w:sz w:val="32"/>
          <w:szCs w:val="32"/>
          <w:lang w:eastAsia="zh-CN"/>
        </w:rPr>
        <w:t>可</w:t>
      </w:r>
      <w:r>
        <w:rPr>
          <w:rFonts w:hint="eastAsia" w:ascii="仿宋" w:hAnsi="仿宋" w:eastAsia="仿宋"/>
          <w:color w:val="222222"/>
          <w:sz w:val="32"/>
          <w:szCs w:val="32"/>
        </w:rPr>
        <w:t>撤销</w:t>
      </w:r>
      <w:r>
        <w:rPr>
          <w:rFonts w:hint="eastAsia" w:ascii="仿宋" w:hAnsi="仿宋" w:eastAsia="仿宋"/>
          <w:color w:val="222222"/>
          <w:sz w:val="32"/>
          <w:szCs w:val="32"/>
          <w:lang w:eastAsia="zh-CN"/>
        </w:rPr>
        <w:t>原专用</w:t>
      </w:r>
      <w:r>
        <w:rPr>
          <w:rFonts w:hint="eastAsia" w:ascii="仿宋" w:hAnsi="仿宋" w:eastAsia="仿宋"/>
          <w:color w:val="222222"/>
          <w:sz w:val="32"/>
          <w:szCs w:val="32"/>
        </w:rPr>
        <w:t>账户</w:t>
      </w:r>
      <w:r>
        <w:rPr>
          <w:rFonts w:hint="eastAsia" w:ascii="仿宋" w:hAnsi="仿宋" w:eastAsia="仿宋"/>
          <w:color w:val="222222"/>
          <w:sz w:val="32"/>
          <w:szCs w:val="32"/>
          <w:lang w:eastAsia="zh-CN"/>
        </w:rPr>
        <w:t>后应重新</w:t>
      </w:r>
      <w:r>
        <w:rPr>
          <w:rFonts w:hint="eastAsia" w:ascii="仿宋" w:hAnsi="仿宋" w:eastAsia="仿宋"/>
          <w:color w:val="222222"/>
          <w:sz w:val="32"/>
          <w:szCs w:val="32"/>
        </w:rPr>
        <w:t>开立新的专用账户。</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八</w:t>
      </w:r>
      <w:r>
        <w:rPr>
          <w:rFonts w:hint="eastAsia" w:ascii="仿宋" w:hAnsi="仿宋" w:eastAsia="仿宋"/>
          <w:color w:val="222222"/>
          <w:sz w:val="32"/>
          <w:szCs w:val="32"/>
        </w:rPr>
        <w:t>条环卫项目存在以下情况，环卫运营单位不得向委托单位或开户银行申请撤销专用账户：</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（一）尚有拖欠环卫工人工资</w:t>
      </w:r>
      <w:r>
        <w:rPr>
          <w:rFonts w:hint="eastAsia" w:ascii="仿宋" w:hAnsi="仿宋" w:eastAsia="仿宋"/>
          <w:color w:val="222222"/>
          <w:sz w:val="32"/>
          <w:szCs w:val="32"/>
          <w:lang w:eastAsia="zh-CN"/>
        </w:rPr>
        <w:t>情况</w:t>
      </w:r>
      <w:r>
        <w:rPr>
          <w:rFonts w:hint="eastAsia" w:ascii="仿宋" w:hAnsi="仿宋" w:eastAsia="仿宋"/>
          <w:color w:val="222222"/>
          <w:sz w:val="32"/>
          <w:szCs w:val="32"/>
        </w:rPr>
        <w:t>正在处理的；</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（二）环卫工人因工资支付问题正在申请劳动争议仲裁或者向人民法院提起诉讼的；</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（三）其他拖欠环卫工人工资的情形。</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FF0000"/>
          <w:sz w:val="32"/>
          <w:szCs w:val="32"/>
          <w:lang w:eastAsia="zh-CN"/>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九</w:t>
      </w:r>
      <w:r>
        <w:rPr>
          <w:rFonts w:hint="eastAsia" w:ascii="仿宋" w:hAnsi="仿宋" w:eastAsia="仿宋"/>
          <w:color w:val="222222"/>
          <w:sz w:val="32"/>
          <w:szCs w:val="32"/>
        </w:rPr>
        <w:t>条委托单位应当按环卫项目服务合同</w:t>
      </w:r>
      <w:r>
        <w:rPr>
          <w:rFonts w:hint="eastAsia" w:ascii="仿宋" w:hAnsi="仿宋" w:eastAsia="仿宋"/>
          <w:color w:val="000000" w:themeColor="text1"/>
          <w:sz w:val="32"/>
          <w:szCs w:val="32"/>
          <w14:textFill>
            <w14:solidFill>
              <w14:schemeClr w14:val="tx1"/>
            </w14:solidFill>
          </w14:textFill>
        </w:rPr>
        <w:t>或环卫项目服务方案约定的支付时间、金额</w:t>
      </w:r>
      <w:r>
        <w:rPr>
          <w:rFonts w:hint="eastAsia" w:ascii="仿宋" w:hAnsi="仿宋" w:eastAsia="仿宋"/>
          <w:color w:val="000000" w:themeColor="text1"/>
          <w:sz w:val="32"/>
          <w:szCs w:val="32"/>
          <w:lang w:eastAsia="zh-CN"/>
          <w14:textFill>
            <w14:solidFill>
              <w14:schemeClr w14:val="tx1"/>
            </w14:solidFill>
          </w14:textFill>
        </w:rPr>
        <w:t>和拨付比例</w:t>
      </w:r>
      <w:r>
        <w:rPr>
          <w:rFonts w:hint="eastAsia" w:ascii="仿宋" w:hAnsi="仿宋" w:eastAsia="仿宋"/>
          <w:color w:val="000000" w:themeColor="text1"/>
          <w:sz w:val="32"/>
          <w:szCs w:val="32"/>
          <w14:textFill>
            <w14:solidFill>
              <w14:schemeClr w14:val="tx1"/>
            </w14:solidFill>
          </w14:textFill>
        </w:rPr>
        <w:t>，按时足额将人工</w:t>
      </w:r>
      <w:r>
        <w:rPr>
          <w:rFonts w:hint="eastAsia" w:ascii="仿宋" w:hAnsi="仿宋" w:eastAsia="仿宋"/>
          <w:color w:val="222222"/>
          <w:sz w:val="32"/>
          <w:szCs w:val="32"/>
        </w:rPr>
        <w:t>费用拨付到</w:t>
      </w:r>
      <w:r>
        <w:rPr>
          <w:rFonts w:hint="eastAsia" w:ascii="仿宋" w:hAnsi="仿宋" w:eastAsia="仿宋"/>
          <w:color w:val="222222"/>
          <w:sz w:val="32"/>
          <w:szCs w:val="32"/>
          <w:lang w:eastAsia="zh-CN"/>
        </w:rPr>
        <w:t>环卫工人工资</w:t>
      </w:r>
      <w:r>
        <w:rPr>
          <w:rFonts w:hint="eastAsia" w:ascii="仿宋" w:hAnsi="仿宋" w:eastAsia="仿宋"/>
          <w:color w:val="222222"/>
          <w:sz w:val="32"/>
          <w:szCs w:val="32"/>
        </w:rPr>
        <w:t>专用账户，</w:t>
      </w:r>
      <w:r>
        <w:rPr>
          <w:rFonts w:hint="eastAsia" w:ascii="仿宋" w:hAnsi="仿宋" w:eastAsia="仿宋"/>
          <w:color w:val="000000" w:themeColor="text1"/>
          <w:sz w:val="32"/>
          <w:szCs w:val="32"/>
          <w:lang w:eastAsia="zh-CN"/>
          <w14:textFill>
            <w14:solidFill>
              <w14:schemeClr w14:val="tx1"/>
            </w14:solidFill>
          </w14:textFill>
        </w:rPr>
        <w:t>确保专用账户资金始终可覆盖下一个支付周期，并</w:t>
      </w:r>
      <w:r>
        <w:rPr>
          <w:rFonts w:hint="eastAsia" w:ascii="仿宋" w:hAnsi="仿宋" w:eastAsia="仿宋"/>
          <w:color w:val="000000" w:themeColor="text1"/>
          <w:sz w:val="32"/>
          <w:szCs w:val="32"/>
          <w14:textFill>
            <w14:solidFill>
              <w14:schemeClr w14:val="tx1"/>
            </w14:solidFill>
          </w14:textFill>
        </w:rPr>
        <w:t>对环卫工人工资支付全过程进行动态监管</w:t>
      </w:r>
      <w:r>
        <w:rPr>
          <w:rFonts w:hint="eastAsia" w:ascii="仿宋" w:hAnsi="仿宋" w:eastAsia="仿宋"/>
          <w:color w:val="000000" w:themeColor="text1"/>
          <w:sz w:val="32"/>
          <w:szCs w:val="32"/>
          <w:lang w:eastAsia="zh-CN"/>
          <w14:textFill>
            <w14:solidFill>
              <w14:schemeClr w14:val="tx1"/>
            </w14:solidFill>
          </w14:textFill>
        </w:rPr>
        <w:t>。</w:t>
      </w:r>
    </w:p>
    <w:p>
      <w:pPr>
        <w:pStyle w:val="2"/>
        <w:shd w:val="clear" w:color="auto" w:fill="FFFFFF"/>
        <w:spacing w:before="0" w:beforeAutospacing="0" w:after="0" w:afterAutospacing="0" w:line="480" w:lineRule="atLeast"/>
        <w:ind w:firstLine="640" w:firstLineChars="200"/>
        <w:jc w:val="both"/>
        <w:rPr>
          <w:rFonts w:ascii="仿宋" w:hAnsi="仿宋" w:eastAsia="仿宋"/>
          <w:color w:val="222222"/>
          <w:sz w:val="32"/>
          <w:szCs w:val="32"/>
        </w:rPr>
      </w:pPr>
      <w:r>
        <w:rPr>
          <w:rFonts w:hint="eastAsia" w:ascii="仿宋" w:hAnsi="仿宋" w:eastAsia="仿宋"/>
          <w:color w:val="222222"/>
          <w:sz w:val="32"/>
          <w:szCs w:val="32"/>
        </w:rPr>
        <w:t>第十条环卫运营单位要以实名制管理信息为基础，按月考核环卫工人工作量并编制工资支付表，经环卫工人本人签字确认后，与环卫工人考勤表、当月服务总量等情况一并交委托单位进行审核备案。委托单位应及时审核实名制管理台账、工资支付表、考勤表等资料。</w:t>
      </w:r>
    </w:p>
    <w:p>
      <w:pPr>
        <w:pStyle w:val="2"/>
        <w:shd w:val="clear" w:color="auto" w:fill="FFFFFF"/>
        <w:spacing w:before="0" w:beforeAutospacing="0" w:after="0" w:afterAutospacing="0" w:line="480" w:lineRule="atLeast"/>
        <w:ind w:firstLine="640" w:firstLineChars="200"/>
        <w:jc w:val="both"/>
        <w:rPr>
          <w:rFonts w:ascii="仿宋" w:hAnsi="仿宋" w:eastAsia="仿宋"/>
          <w:strike/>
          <w:dstrike w:val="0"/>
          <w:color w:val="222222"/>
          <w:sz w:val="32"/>
          <w:szCs w:val="32"/>
        </w:rPr>
      </w:pPr>
      <w:r>
        <w:rPr>
          <w:rFonts w:hint="eastAsia" w:ascii="仿宋" w:hAnsi="仿宋" w:eastAsia="仿宋"/>
          <w:color w:val="222222"/>
          <w:sz w:val="32"/>
          <w:szCs w:val="32"/>
        </w:rPr>
        <w:t>第十</w:t>
      </w:r>
      <w:r>
        <w:rPr>
          <w:rFonts w:hint="eastAsia" w:ascii="仿宋" w:hAnsi="仿宋" w:eastAsia="仿宋"/>
          <w:color w:val="222222"/>
          <w:sz w:val="32"/>
          <w:szCs w:val="32"/>
          <w:lang w:eastAsia="zh-CN"/>
        </w:rPr>
        <w:t>一</w:t>
      </w:r>
      <w:r>
        <w:rPr>
          <w:rFonts w:hint="eastAsia" w:ascii="仿宋" w:hAnsi="仿宋" w:eastAsia="仿宋"/>
          <w:color w:val="222222"/>
          <w:sz w:val="32"/>
          <w:szCs w:val="32"/>
        </w:rPr>
        <w:t>条环卫运营单位应及时将委托单位审核后的工资支付表等资料报送开户银行。开户银行根据委托单位审核后的工资支付表等，及时将工资通过专用账户直接支付到环卫工人本人的银行账户。工资发放后，环卫运营单位应向委托单位提供代发工资凭证。</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w:t>
      </w:r>
      <w:r>
        <w:rPr>
          <w:rFonts w:hint="eastAsia" w:ascii="仿宋" w:hAnsi="仿宋" w:eastAsia="仿宋"/>
          <w:color w:val="000000" w:themeColor="text1"/>
          <w:sz w:val="32"/>
          <w:szCs w:val="32"/>
          <w:lang w:eastAsia="zh-CN"/>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条各级环境卫生主管部门、人力资源社会保障行政部门要</w:t>
      </w:r>
      <w:r>
        <w:rPr>
          <w:rFonts w:hint="eastAsia" w:ascii="仿宋" w:hAnsi="仿宋" w:eastAsia="仿宋"/>
          <w:color w:val="000000" w:themeColor="text1"/>
          <w:sz w:val="32"/>
          <w:szCs w:val="32"/>
          <w:lang w:eastAsia="zh-CN"/>
          <w14:textFill>
            <w14:solidFill>
              <w14:schemeClr w14:val="tx1"/>
            </w14:solidFill>
          </w14:textFill>
        </w:rPr>
        <w:t>依照职责</w:t>
      </w:r>
      <w:r>
        <w:rPr>
          <w:rFonts w:hint="eastAsia" w:ascii="仿宋" w:hAnsi="仿宋" w:eastAsia="仿宋"/>
          <w:color w:val="000000" w:themeColor="text1"/>
          <w:sz w:val="32"/>
          <w:szCs w:val="32"/>
          <w14:textFill>
            <w14:solidFill>
              <w14:schemeClr w14:val="tx1"/>
            </w14:solidFill>
          </w14:textFill>
        </w:rPr>
        <w:t>，切实履行监督指导责任。发现未及时拨付环卫工人工资的，要及时查明原因，督促协调落实到位。对拖欠环卫工人工资造成严重负面影响的，将依法依规严肃追究责任。</w:t>
      </w:r>
    </w:p>
    <w:p>
      <w:pPr>
        <w:pStyle w:val="2"/>
        <w:shd w:val="clear" w:color="auto" w:fill="FFFFFF"/>
        <w:spacing w:before="0" w:beforeAutospacing="0" w:after="0" w:afterAutospacing="0" w:line="480" w:lineRule="atLeast"/>
        <w:ind w:firstLine="640" w:firstLineChars="200"/>
        <w:jc w:val="both"/>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第</w:t>
      </w:r>
      <w:r>
        <w:rPr>
          <w:rFonts w:hint="eastAsia" w:ascii="仿宋" w:hAnsi="仿宋" w:eastAsia="仿宋"/>
          <w:color w:val="000000" w:themeColor="text1"/>
          <w:sz w:val="32"/>
          <w:szCs w:val="32"/>
          <w:lang w:eastAsia="zh-CN"/>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条本细则由抚顺市住房和城乡建设局会同</w:t>
      </w:r>
      <w:r>
        <w:rPr>
          <w:rFonts w:hint="eastAsia" w:ascii="仿宋" w:hAnsi="仿宋" w:eastAsia="仿宋"/>
          <w:color w:val="000000" w:themeColor="text1"/>
          <w:sz w:val="32"/>
          <w:szCs w:val="32"/>
          <w:lang w:eastAsia="zh-CN"/>
          <w14:textFill>
            <w14:solidFill>
              <w14:schemeClr w14:val="tx1"/>
            </w14:solidFill>
          </w14:textFill>
        </w:rPr>
        <w:t>抚顺市</w:t>
      </w:r>
      <w:r>
        <w:rPr>
          <w:rFonts w:hint="eastAsia" w:ascii="仿宋" w:hAnsi="仿宋" w:eastAsia="仿宋"/>
          <w:color w:val="000000" w:themeColor="text1"/>
          <w:sz w:val="32"/>
          <w:szCs w:val="32"/>
          <w14:textFill>
            <w14:solidFill>
              <w14:schemeClr w14:val="tx1"/>
            </w14:solidFill>
          </w14:textFill>
        </w:rPr>
        <w:t>人力资源和社会保障局、中国人民银行抚顺市分行、</w:t>
      </w:r>
      <w:r>
        <w:rPr>
          <w:rFonts w:hint="eastAsia" w:ascii="仿宋" w:hAnsi="仿宋" w:eastAsia="仿宋"/>
          <w:color w:val="000000" w:themeColor="text1"/>
          <w:sz w:val="32"/>
          <w:szCs w:val="32"/>
          <w:lang w:eastAsia="zh-CN"/>
          <w14:textFill>
            <w14:solidFill>
              <w14:schemeClr w14:val="tx1"/>
            </w14:solidFill>
          </w14:textFill>
        </w:rPr>
        <w:t>国家金融监督管理总局抚顺监管分局</w:t>
      </w:r>
      <w:r>
        <w:rPr>
          <w:rFonts w:hint="eastAsia" w:ascii="仿宋" w:hAnsi="仿宋" w:eastAsia="仿宋"/>
          <w:color w:val="000000" w:themeColor="text1"/>
          <w:sz w:val="32"/>
          <w:szCs w:val="32"/>
          <w14:textFill>
            <w14:solidFill>
              <w14:schemeClr w14:val="tx1"/>
            </w14:solidFill>
          </w14:textFill>
        </w:rPr>
        <w:t>等部门负责解释。</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rPr>
      </w:pPr>
      <w:r>
        <w:rPr>
          <w:rFonts w:hint="eastAsia" w:ascii="仿宋" w:hAnsi="仿宋" w:eastAsia="仿宋"/>
          <w:color w:val="222222"/>
          <w:sz w:val="32"/>
          <w:szCs w:val="32"/>
        </w:rPr>
        <w:t>第</w:t>
      </w:r>
      <w:r>
        <w:rPr>
          <w:rFonts w:hint="eastAsia" w:ascii="仿宋" w:hAnsi="仿宋" w:eastAsia="仿宋"/>
          <w:color w:val="222222"/>
          <w:sz w:val="32"/>
          <w:szCs w:val="32"/>
          <w:lang w:eastAsia="zh-CN"/>
        </w:rPr>
        <w:t>十四</w:t>
      </w:r>
      <w:r>
        <w:rPr>
          <w:rFonts w:hint="eastAsia" w:ascii="仿宋" w:hAnsi="仿宋" w:eastAsia="仿宋"/>
          <w:color w:val="222222"/>
          <w:sz w:val="32"/>
          <w:szCs w:val="32"/>
        </w:rPr>
        <w:t>条</w:t>
      </w:r>
      <w:r>
        <w:rPr>
          <w:rFonts w:hint="eastAsia" w:ascii="仿宋" w:hAnsi="仿宋" w:eastAsia="仿宋"/>
          <w:color w:val="000000" w:themeColor="text1"/>
          <w:sz w:val="32"/>
          <w:szCs w:val="32"/>
          <w14:textFill>
            <w14:solidFill>
              <w14:schemeClr w14:val="tx1"/>
            </w14:solidFill>
          </w14:textFill>
        </w:rPr>
        <w:t>抚顺县、清原县、新宾县的环卫工人工资专用账户监管可参照本</w:t>
      </w:r>
      <w:r>
        <w:rPr>
          <w:rFonts w:hint="eastAsia" w:ascii="仿宋" w:hAnsi="仿宋" w:eastAsia="仿宋"/>
          <w:color w:val="000000" w:themeColor="text1"/>
          <w:sz w:val="32"/>
          <w:szCs w:val="32"/>
          <w:lang w:eastAsia="zh-CN"/>
          <w14:textFill>
            <w14:solidFill>
              <w14:schemeClr w14:val="tx1"/>
            </w14:solidFill>
          </w14:textFill>
        </w:rPr>
        <w:t>细则</w:t>
      </w:r>
      <w:r>
        <w:rPr>
          <w:rFonts w:hint="eastAsia" w:ascii="仿宋" w:hAnsi="仿宋" w:eastAsia="仿宋"/>
          <w:color w:val="000000" w:themeColor="text1"/>
          <w:sz w:val="32"/>
          <w:szCs w:val="32"/>
          <w14:textFill>
            <w14:solidFill>
              <w14:schemeClr w14:val="tx1"/>
            </w14:solidFill>
          </w14:textFill>
        </w:rPr>
        <w:t>执行</w:t>
      </w:r>
      <w:r>
        <w:rPr>
          <w:rFonts w:hint="eastAsia" w:ascii="仿宋" w:hAnsi="仿宋" w:eastAsia="仿宋"/>
          <w:color w:val="000000" w:themeColor="text1"/>
          <w:sz w:val="32"/>
          <w:szCs w:val="32"/>
          <w:lang w:eastAsia="zh-CN"/>
          <w14:textFill>
            <w14:solidFill>
              <w14:schemeClr w14:val="tx1"/>
            </w14:solidFill>
          </w14:textFill>
        </w:rPr>
        <w:t>。</w:t>
      </w:r>
    </w:p>
    <w:p>
      <w:pPr>
        <w:pStyle w:val="2"/>
        <w:shd w:val="clear" w:color="auto" w:fill="FFFFFF"/>
        <w:spacing w:before="0" w:beforeAutospacing="0" w:after="0" w:afterAutospacing="0" w:line="480" w:lineRule="atLeast"/>
        <w:ind w:firstLine="640" w:firstLineChars="200"/>
        <w:jc w:val="both"/>
        <w:rPr>
          <w:rFonts w:hint="eastAsia" w:ascii="仿宋" w:hAnsi="仿宋" w:eastAsia="仿宋"/>
          <w:color w:val="222222"/>
          <w:sz w:val="32"/>
          <w:szCs w:val="32"/>
          <w:lang w:eastAsia="zh-CN"/>
        </w:rPr>
      </w:pPr>
      <w:r>
        <w:rPr>
          <w:rFonts w:hint="eastAsia" w:ascii="仿宋" w:hAnsi="仿宋" w:eastAsia="仿宋"/>
          <w:color w:val="222222"/>
          <w:sz w:val="32"/>
          <w:szCs w:val="32"/>
        </w:rPr>
        <w:t>本细则自</w:t>
      </w:r>
      <w:r>
        <w:rPr>
          <w:rFonts w:hint="eastAsia" w:ascii="仿宋" w:hAnsi="仿宋" w:eastAsia="仿宋"/>
          <w:color w:val="222222"/>
          <w:sz w:val="32"/>
          <w:szCs w:val="32"/>
          <w:lang w:eastAsia="zh-CN"/>
        </w:rPr>
        <w:t>印发之日</w:t>
      </w:r>
      <w:r>
        <w:rPr>
          <w:rFonts w:hint="eastAsia" w:ascii="仿宋" w:hAnsi="仿宋" w:eastAsia="仿宋"/>
          <w:color w:val="222222"/>
          <w:sz w:val="32"/>
          <w:szCs w:val="32"/>
        </w:rPr>
        <w:t>施行，</w:t>
      </w:r>
      <w:r>
        <w:rPr>
          <w:rFonts w:hint="eastAsia" w:ascii="仿宋" w:hAnsi="仿宋" w:eastAsia="仿宋"/>
          <w:color w:val="000000" w:themeColor="text1"/>
          <w:sz w:val="32"/>
          <w:szCs w:val="32"/>
          <w14:textFill>
            <w14:solidFill>
              <w14:schemeClr w14:val="tx1"/>
            </w14:solidFill>
          </w14:textFill>
        </w:rPr>
        <w:t>有效期</w:t>
      </w:r>
      <w:r>
        <w:rPr>
          <w:rFonts w:hint="eastAsia" w:ascii="仿宋" w:hAnsi="仿宋" w:eastAsia="仿宋"/>
          <w:color w:val="000000" w:themeColor="text1"/>
          <w:sz w:val="32"/>
          <w:szCs w:val="32"/>
          <w:lang w:eastAsia="zh-CN"/>
          <w14:textFill>
            <w14:solidFill>
              <w14:schemeClr w14:val="tx1"/>
            </w14:solidFill>
          </w14:textFill>
        </w:rPr>
        <w:t>五</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eastAsia="zh-CN"/>
          <w14:textFill>
            <w14:solidFill>
              <w14:schemeClr w14:val="tx1"/>
            </w14:solidFill>
          </w14:textFill>
        </w:rPr>
        <w:t>。</w:t>
      </w: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hint="eastAsia" w:ascii="仿宋" w:hAnsi="仿宋" w:eastAsia="仿宋" w:cs="宋体"/>
          <w:kern w:val="0"/>
          <w:sz w:val="32"/>
          <w:szCs w:val="32"/>
        </w:rPr>
      </w:pP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附件1</w:t>
      </w:r>
    </w:p>
    <w:p>
      <w:pPr>
        <w:widowControl/>
        <w:spacing w:line="480" w:lineRule="atLeast"/>
        <w:ind w:firstLine="720" w:firstLineChars="200"/>
        <w:jc w:val="center"/>
        <w:rPr>
          <w:rFonts w:ascii="仿宋" w:hAnsi="仿宋" w:eastAsia="仿宋" w:cs="宋体"/>
          <w:kern w:val="0"/>
          <w:sz w:val="36"/>
          <w:szCs w:val="36"/>
        </w:rPr>
      </w:pPr>
      <w:r>
        <w:rPr>
          <w:rFonts w:hint="eastAsia" w:ascii="仿宋" w:hAnsi="仿宋" w:eastAsia="仿宋" w:cs="宋体"/>
          <w:kern w:val="0"/>
          <w:sz w:val="36"/>
          <w:szCs w:val="36"/>
        </w:rPr>
        <w:t>环卫工人工资专用账户管理协议</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（范本）</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甲方（委托单位）：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乙方（环卫运营单位）：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丙方（开户银行）：</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环卫项目名称：</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根据环卫工人工资专用账户管理的相关规定，甲、乙、丙三方共同设置项目环卫工人工资专用账户（账户名：，账号：)。为保证环卫工人工资专用账户（以下简称专用账户）资金专款专用及环卫工人工资按时足额支付，甲、乙双方委托丙方为本项目专用账户资金监管人，对专用账户资金提供监督管理，并按照本协议约定履行相关信息披露等服务。甲、乙、丙三方经友好协商，达成以下协议，并共同遵守。</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第一章账户设立及管理</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第一条</w:t>
      </w:r>
      <w:r>
        <w:rPr>
          <w:rFonts w:ascii="Calibri" w:hAnsi="Calibri" w:eastAsia="仿宋" w:cs="Calibri"/>
          <w:kern w:val="0"/>
          <w:sz w:val="32"/>
          <w:szCs w:val="32"/>
        </w:rPr>
        <w:t> </w:t>
      </w:r>
      <w:r>
        <w:rPr>
          <w:rFonts w:hint="eastAsia" w:ascii="仿宋" w:hAnsi="仿宋" w:eastAsia="仿宋" w:cs="宋体"/>
          <w:kern w:val="0"/>
          <w:sz w:val="32"/>
          <w:szCs w:val="32"/>
        </w:rPr>
        <w:t>（专用账户的设立）由乙方在丙方处开设专用账户，不得将专用账户资金转入除本项目环卫工人本人银行账户以外的账户，不得为专用账户提供现金支取和其他转账结算服务。</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第二条</w:t>
      </w:r>
      <w:r>
        <w:rPr>
          <w:rFonts w:ascii="Calibri" w:hAnsi="Calibri" w:eastAsia="仿宋" w:cs="Calibri"/>
          <w:kern w:val="0"/>
          <w:sz w:val="32"/>
          <w:szCs w:val="32"/>
        </w:rPr>
        <w:t> </w:t>
      </w:r>
      <w:r>
        <w:rPr>
          <w:rFonts w:hint="eastAsia" w:ascii="仿宋" w:hAnsi="仿宋" w:eastAsia="仿宋" w:cs="宋体"/>
          <w:kern w:val="0"/>
          <w:sz w:val="32"/>
          <w:szCs w:val="32"/>
        </w:rPr>
        <w:t>（专用账户的管理）环卫项目服务期间，丙方负责对专用账户进行监督管理。丙方需根据本协议约定的条件办理资金划拨手续。</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第三条</w:t>
      </w:r>
      <w:r>
        <w:rPr>
          <w:rFonts w:ascii="Calibri" w:hAnsi="Calibri" w:eastAsia="仿宋" w:cs="Calibri"/>
          <w:kern w:val="0"/>
          <w:sz w:val="32"/>
          <w:szCs w:val="32"/>
        </w:rPr>
        <w:t> </w:t>
      </w:r>
      <w:r>
        <w:rPr>
          <w:rFonts w:hint="eastAsia" w:ascii="仿宋" w:hAnsi="仿宋" w:eastAsia="仿宋" w:cs="宋体"/>
          <w:kern w:val="0"/>
          <w:sz w:val="32"/>
          <w:szCs w:val="32"/>
        </w:rPr>
        <w:t>（甲方的监督）甲方监督发现专用账户资金有不符合本协议规定要求的，应及时将监督结果书面反馈给丙方，并书面明确丙方应中止办理支付；满足重新办理环卫工人工资支付情形的，需经各方协商一致，丙方收到协商一致的处理意见书后按规定办理。</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第二章职责期限</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第四条</w:t>
      </w:r>
      <w:r>
        <w:rPr>
          <w:rFonts w:hint="eastAsia" w:ascii="仿宋" w:hAnsi="仿宋" w:eastAsia="仿宋" w:cs="宋体"/>
          <w:color w:val="000000" w:themeColor="text1"/>
          <w:kern w:val="0"/>
          <w:sz w:val="32"/>
          <w:szCs w:val="32"/>
          <w14:textFill>
            <w14:solidFill>
              <w14:schemeClr w14:val="tx1"/>
            </w14:solidFill>
          </w14:textFill>
        </w:rPr>
        <w:t>丙方作为开户银行，应履行以下职责</w:t>
      </w:r>
      <w:r>
        <w:rPr>
          <w:rFonts w:hint="eastAsia" w:ascii="仿宋" w:hAnsi="仿宋" w:eastAsia="仿宋" w:cs="宋体"/>
          <w:kern w:val="0"/>
          <w:sz w:val="32"/>
          <w:szCs w:val="32"/>
        </w:rPr>
        <w:t>：</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（一）设立专用账户，保管托管资金，确保资金安全和账户专用属性；</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（二）乙方提供每月环卫工人工资支付表后，3日内完成环卫工人工资发放；</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（三）及时披露受托资金的相关信息，每月日前将专用账户拨款对账单报乙方核对，同时应按甲方需求配合提供对账单据；</w:t>
      </w:r>
    </w:p>
    <w:p>
      <w:pPr>
        <w:widowControl/>
        <w:spacing w:line="480"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kern w:val="0"/>
          <w:sz w:val="32"/>
          <w:szCs w:val="32"/>
        </w:rPr>
        <w:t>（四）</w:t>
      </w:r>
      <w:r>
        <w:rPr>
          <w:rFonts w:hint="eastAsia" w:ascii="仿宋" w:hAnsi="仿宋" w:eastAsia="仿宋" w:cs="宋体"/>
          <w:color w:val="000000" w:themeColor="text1"/>
          <w:kern w:val="0"/>
          <w:sz w:val="32"/>
          <w:szCs w:val="32"/>
          <w14:textFill>
            <w14:solidFill>
              <w14:schemeClr w14:val="tx1"/>
            </w14:solidFill>
          </w14:textFill>
        </w:rPr>
        <w:t>丙方应配合</w:t>
      </w:r>
      <w:r>
        <w:rPr>
          <w:rFonts w:hint="eastAsia" w:ascii="仿宋" w:hAnsi="仿宋" w:eastAsia="仿宋" w:cs="宋体"/>
          <w:color w:val="000000" w:themeColor="text1"/>
          <w:kern w:val="0"/>
          <w:sz w:val="32"/>
          <w:szCs w:val="32"/>
          <w:lang w:eastAsia="zh-CN"/>
          <w14:textFill>
            <w14:solidFill>
              <w14:schemeClr w14:val="tx1"/>
            </w14:solidFill>
          </w14:textFill>
        </w:rPr>
        <w:t>甲方对专用账户资金支付情况进行监管并</w:t>
      </w:r>
      <w:r>
        <w:rPr>
          <w:rFonts w:hint="eastAsia" w:ascii="仿宋" w:hAnsi="仿宋" w:eastAsia="仿宋" w:cs="宋体"/>
          <w:color w:val="000000" w:themeColor="text1"/>
          <w:kern w:val="0"/>
          <w:sz w:val="32"/>
          <w:szCs w:val="32"/>
          <w14:textFill>
            <w14:solidFill>
              <w14:schemeClr w14:val="tx1"/>
            </w14:solidFill>
          </w14:textFill>
        </w:rPr>
        <w:t>提供专用账户支付明细记录。</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第五条（协议期限）丙方对专用账户内资金履行监督管理职责的期限自资金划入专用账户之日起至收到委托单位提供的同意撤销通知书为止。</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第三章工资专户资金的收付</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六条（专用账户资金的存入）根据环卫项目服务合同约定的人工费用数额及拨付比例、拨付人工费用的周期和拨付日期等。甲方日（合同约定的拨付日期）前将环卫服务项目人工费用拨入约定的专用账户，丙方确认资金到账后对账户资金履行监督管理职责。</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七条（专用账户资金拨付）每月日前乙方负责将甲方审核后的环卫工人工资支付表等资料报丙方，由丙方根据甲方审核后的工资支付表等资料，从专用账户（在人工费用拨付累计额度内）直接划拨至环卫工人个人工资账户上。环卫工人个人工资账户信息和工资清单的真实性及准确性由乙方负责。</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第四章协议生效与终止</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第八条</w:t>
      </w:r>
      <w:r>
        <w:rPr>
          <w:rFonts w:ascii="Calibri" w:hAnsi="Calibri" w:eastAsia="仿宋" w:cs="Calibri"/>
          <w:kern w:val="0"/>
          <w:sz w:val="32"/>
          <w:szCs w:val="32"/>
        </w:rPr>
        <w:t> </w:t>
      </w:r>
      <w:r>
        <w:rPr>
          <w:rFonts w:hint="eastAsia" w:ascii="仿宋" w:hAnsi="仿宋" w:eastAsia="仿宋" w:cs="宋体"/>
          <w:kern w:val="0"/>
          <w:sz w:val="32"/>
          <w:szCs w:val="32"/>
        </w:rPr>
        <w:t>本协议经甲、乙、丙三方法定代表人或其授权代理人签字或签章并加盖公章（业务章、合同专用章）之日起生效。</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九条本协议所述环卫项目服务合同到期或终止且结清环卫工人工资后，乙方需撤销账户的，经甲方同意并出具同意撤销通知书后，丙方依据甲方提供的同意撤销通知书，为其办理账户撤销手续，账户内余额归乙方所有。</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第五章违约责任和免责条件</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第十条在项目服务过程中，甲方未及时拨付人工费用的，乙方提供虚假资料挪用、套用资金的，视为违约，按相关规定追究违约责任。</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一条在资金监管期间，丙方未按照协议约定的支付条件办理资金支付而造成的直接损失，丙方应承担赔偿责任。因有权机关查封、冻结、扣划等非丙方原因致使无法履行本协议项下义务的，丙方不承担任何责任。</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二条如果本协议任何一方因不可抗力不能履行本协议的，可根据不可抗力的影响，部分或全部免除该方的责任。任何一方遭到不可抗力时，应及时通知其他方在合理期限内提供不可抗力影响的证明，并采取适当措施防止其他方损失的扩大和保护资金的完整。</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第六章其他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第十三条除法律法规规定，以及因本环卫服务项目专用账户监督管理的需要和三方特别约定外，未经三方同意，协议任何一方不得向外提供涉及甲、乙、丙方商业秘密的资料。</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第十四条</w:t>
      </w:r>
      <w:r>
        <w:rPr>
          <w:rFonts w:ascii="Calibri" w:hAnsi="Calibri" w:eastAsia="仿宋" w:cs="Calibri"/>
          <w:kern w:val="0"/>
          <w:sz w:val="32"/>
          <w:szCs w:val="32"/>
        </w:rPr>
        <w:t> </w:t>
      </w:r>
      <w:r>
        <w:rPr>
          <w:rFonts w:hint="eastAsia" w:ascii="仿宋" w:hAnsi="仿宋" w:eastAsia="仿宋" w:cs="宋体"/>
          <w:kern w:val="0"/>
          <w:sz w:val="32"/>
          <w:szCs w:val="32"/>
        </w:rPr>
        <w:t>（协议的变更）本协议生效后，甲、乙、丙三方中任何一方需要变更协议条款时，应经三方协商一致，并签订补充协议，补充协议与本协议具有同等法律效力。</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第十五条</w:t>
      </w:r>
      <w:r>
        <w:rPr>
          <w:rFonts w:ascii="Calibri" w:hAnsi="Calibri" w:eastAsia="仿宋" w:cs="Calibri"/>
          <w:kern w:val="0"/>
          <w:sz w:val="32"/>
          <w:szCs w:val="32"/>
        </w:rPr>
        <w:t> </w:t>
      </w:r>
      <w:r>
        <w:rPr>
          <w:rFonts w:hint="eastAsia" w:ascii="仿宋" w:hAnsi="仿宋" w:eastAsia="仿宋" w:cs="宋体"/>
          <w:kern w:val="0"/>
          <w:sz w:val="32"/>
          <w:szCs w:val="32"/>
        </w:rPr>
        <w:t>本协议一式四份，甲、乙、丙方各执壹份，送环卫服务项目所在地环境卫生主管部门备案一份，每份具有同等法律效力。</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甲方（签章）：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乙方（签章）：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丙方（签章）： 法定代表人或</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授权代理人（签章）：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签订日期： 年 月 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（注：本协议为范本，在此基础上，协议三方可根据项目的具体要求进行补充。）</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附件2</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环卫工人工资专用账户开立证明</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（委托单位）：</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兹有环卫运营单位，统一社会信用代码为：，于年月日在我行开立项目环卫工人工资专用账户，账号为：，开户行为：。</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特此证明。</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（银行公章）</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年月日</w:t>
      </w:r>
    </w:p>
    <w:p>
      <w:pPr>
        <w:widowControl/>
        <w:spacing w:line="480" w:lineRule="atLeast"/>
        <w:ind w:firstLine="640" w:firstLineChars="200"/>
        <w:rPr>
          <w:rFonts w:ascii="仿宋" w:hAnsi="仿宋" w:eastAsia="仿宋" w:cs="宋体"/>
          <w:kern w:val="0"/>
          <w:sz w:val="32"/>
          <w:szCs w:val="32"/>
        </w:rPr>
      </w:pPr>
      <w:r>
        <w:rPr>
          <w:rFonts w:hint="eastAsia" w:ascii="仿宋" w:hAnsi="仿宋" w:eastAsia="仿宋" w:cs="宋体"/>
          <w:kern w:val="0"/>
          <w:sz w:val="32"/>
          <w:szCs w:val="32"/>
        </w:rPr>
        <w:t>附件3</w:t>
      </w:r>
    </w:p>
    <w:p>
      <w:pPr>
        <w:widowControl/>
        <w:spacing w:line="480" w:lineRule="atLeast"/>
        <w:ind w:firstLine="640" w:firstLineChars="200"/>
        <w:jc w:val="center"/>
        <w:rPr>
          <w:rFonts w:ascii="仿宋" w:hAnsi="仿宋" w:eastAsia="仿宋" w:cs="宋体"/>
          <w:kern w:val="0"/>
          <w:sz w:val="32"/>
          <w:szCs w:val="32"/>
        </w:rPr>
      </w:pPr>
      <w:r>
        <w:rPr>
          <w:rFonts w:hint="eastAsia" w:ascii="仿宋" w:hAnsi="仿宋" w:eastAsia="仿宋" w:cs="宋体"/>
          <w:kern w:val="0"/>
          <w:sz w:val="32"/>
          <w:szCs w:val="32"/>
        </w:rPr>
        <w:t>环卫工人工资专用账户撤销申请表</w:t>
      </w:r>
    </w:p>
    <w:tbl>
      <w:tblPr>
        <w:tblStyle w:val="3"/>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349"/>
        <w:gridCol w:w="1690"/>
        <w:gridCol w:w="409"/>
        <w:gridCol w:w="1247"/>
        <w:gridCol w:w="379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账户名称</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专用账户账号</w:t>
            </w:r>
          </w:p>
        </w:tc>
        <w:tc>
          <w:tcPr>
            <w:tcW w:w="1237" w:type="pct"/>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c>
          <w:tcPr>
            <w:tcW w:w="73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开户银行</w:t>
            </w:r>
          </w:p>
        </w:tc>
        <w:tc>
          <w:tcPr>
            <w:tcW w:w="2233"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环卫项目名称</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委托单位</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环卫运营单位</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专用账户（余额）</w:t>
            </w:r>
          </w:p>
        </w:tc>
        <w:tc>
          <w:tcPr>
            <w:tcW w:w="996"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万元</w:t>
            </w:r>
          </w:p>
        </w:tc>
        <w:tc>
          <w:tcPr>
            <w:tcW w:w="976" w:type="pct"/>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服务终止时间</w:t>
            </w:r>
          </w:p>
        </w:tc>
        <w:tc>
          <w:tcPr>
            <w:tcW w:w="2233"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资金退回账户</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账户名称</w:t>
            </w:r>
          </w:p>
        </w:tc>
        <w:tc>
          <w:tcPr>
            <w:tcW w:w="996"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c>
          <w:tcPr>
            <w:tcW w:w="976" w:type="pct"/>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开户行</w:t>
            </w:r>
          </w:p>
        </w:tc>
        <w:tc>
          <w:tcPr>
            <w:tcW w:w="2233"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经 办 人</w:t>
            </w:r>
          </w:p>
        </w:tc>
        <w:tc>
          <w:tcPr>
            <w:tcW w:w="996"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c>
          <w:tcPr>
            <w:tcW w:w="976" w:type="pct"/>
            <w:gridSpan w:val="2"/>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联系电话</w:t>
            </w:r>
          </w:p>
        </w:tc>
        <w:tc>
          <w:tcPr>
            <w:tcW w:w="2233"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jc w:val="left"/>
              <w:rPr>
                <w:rFonts w:ascii="仿宋" w:hAnsi="仿宋" w:eastAsia="仿宋" w:cs="Segoe UI"/>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28"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环卫运营单位填写</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该环卫项目已于年月日终止，所涉环卫工人工资已全部足额发放完毕。根据规定已符合撤销条件，特申请办理专用账户撤销手续，专用账户注销后，如有反映拖欠工资情况的，由我单位承担清偿责任。</w:t>
            </w:r>
          </w:p>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法定代表人或授权人签名（公章）：</w:t>
            </w:r>
          </w:p>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564"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委托单位意见</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法定代表人或授权人签名（公章）：</w:t>
            </w:r>
          </w:p>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年 月 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blCellSpacing w:w="0" w:type="dxa"/>
        </w:trPr>
        <w:tc>
          <w:tcPr>
            <w:tcW w:w="795" w:type="pct"/>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vAlign w:val="center"/>
          </w:tcPr>
          <w:p>
            <w:pPr>
              <w:widowControl/>
              <w:spacing w:line="480" w:lineRule="atLeast"/>
              <w:ind w:firstLine="480"/>
              <w:rPr>
                <w:rFonts w:ascii="仿宋" w:hAnsi="仿宋" w:eastAsia="仿宋" w:cs="Segoe UI"/>
                <w:kern w:val="0"/>
                <w:sz w:val="32"/>
                <w:szCs w:val="32"/>
              </w:rPr>
            </w:pPr>
            <w:r>
              <w:rPr>
                <w:rFonts w:hint="eastAsia" w:ascii="仿宋" w:hAnsi="仿宋" w:eastAsia="仿宋" w:cs="Segoe UI"/>
                <w:kern w:val="0"/>
                <w:sz w:val="32"/>
                <w:szCs w:val="32"/>
              </w:rPr>
              <w:t>开户银行意见</w:t>
            </w:r>
          </w:p>
        </w:tc>
        <w:tc>
          <w:tcPr>
            <w:tcW w:w="4205" w:type="pct"/>
            <w:gridSpan w:val="4"/>
            <w:tcBorders>
              <w:top w:val="outset" w:color="auto" w:sz="6" w:space="0"/>
              <w:left w:val="outset" w:color="auto" w:sz="6" w:space="0"/>
              <w:bottom w:val="outset" w:color="auto" w:sz="6" w:space="0"/>
              <w:right w:val="outset" w:color="auto" w:sz="6" w:space="0"/>
            </w:tcBorders>
            <w:tcMar>
              <w:top w:w="75" w:type="dxa"/>
              <w:left w:w="75" w:type="dxa"/>
              <w:bottom w:w="75" w:type="dxa"/>
              <w:right w:w="75" w:type="dxa"/>
            </w:tcMar>
          </w:tcPr>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经核，该专用账户已发放环卫工人工资数额为万元。</w:t>
            </w:r>
          </w:p>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经办人： 开户行（公章）：</w:t>
            </w:r>
          </w:p>
          <w:p>
            <w:pPr>
              <w:widowControl/>
              <w:spacing w:line="480" w:lineRule="atLeast"/>
              <w:ind w:firstLine="640" w:firstLineChars="200"/>
              <w:rPr>
                <w:rFonts w:ascii="仿宋" w:hAnsi="仿宋" w:eastAsia="仿宋" w:cs="Segoe UI"/>
                <w:kern w:val="0"/>
                <w:sz w:val="32"/>
                <w:szCs w:val="32"/>
              </w:rPr>
            </w:pPr>
            <w:r>
              <w:rPr>
                <w:rFonts w:hint="eastAsia" w:ascii="仿宋" w:hAnsi="仿宋" w:eastAsia="仿宋" w:cs="Segoe UI"/>
                <w:kern w:val="0"/>
                <w:sz w:val="32"/>
                <w:szCs w:val="32"/>
              </w:rPr>
              <w:t>年 月 日</w:t>
            </w:r>
          </w:p>
        </w:tc>
      </w:tr>
    </w:tbl>
    <w:p>
      <w:pPr>
        <w:spacing w:line="520"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09" w:usb3="00000000" w:csb0="000001FF" w:csb1="00000000"/>
  </w:font>
  <w:font w:name="URW Bookman">
    <w:panose1 w:val="000004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Naskh Arabic">
    <w:panose1 w:val="020B0502040504020204"/>
    <w:charset w:val="00"/>
    <w:family w:val="auto"/>
    <w:pitch w:val="default"/>
    <w:sig w:usb0="80002003" w:usb1="80002000" w:usb2="00000008" w:usb3="00000000" w:csb0="00000041" w:csb1="0008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F7"/>
    <w:rsid w:val="000A7A3A"/>
    <w:rsid w:val="000B4BA5"/>
    <w:rsid w:val="00180F27"/>
    <w:rsid w:val="001D4F6F"/>
    <w:rsid w:val="001D5929"/>
    <w:rsid w:val="002576A4"/>
    <w:rsid w:val="002753FE"/>
    <w:rsid w:val="002A7B37"/>
    <w:rsid w:val="002C4535"/>
    <w:rsid w:val="002E425C"/>
    <w:rsid w:val="00386E9B"/>
    <w:rsid w:val="00394CE7"/>
    <w:rsid w:val="003A1B9D"/>
    <w:rsid w:val="003C1E94"/>
    <w:rsid w:val="003D437B"/>
    <w:rsid w:val="00400DBE"/>
    <w:rsid w:val="00442523"/>
    <w:rsid w:val="00497704"/>
    <w:rsid w:val="004C43F1"/>
    <w:rsid w:val="004C452E"/>
    <w:rsid w:val="004C5871"/>
    <w:rsid w:val="005037C8"/>
    <w:rsid w:val="00557EB7"/>
    <w:rsid w:val="005C65CE"/>
    <w:rsid w:val="00643497"/>
    <w:rsid w:val="00676BAF"/>
    <w:rsid w:val="006B6B07"/>
    <w:rsid w:val="00707F43"/>
    <w:rsid w:val="007E60AD"/>
    <w:rsid w:val="00894CE1"/>
    <w:rsid w:val="009C062E"/>
    <w:rsid w:val="00A12250"/>
    <w:rsid w:val="00A151A7"/>
    <w:rsid w:val="00A64C67"/>
    <w:rsid w:val="00A70264"/>
    <w:rsid w:val="00A806D3"/>
    <w:rsid w:val="00B02552"/>
    <w:rsid w:val="00B32661"/>
    <w:rsid w:val="00B340F6"/>
    <w:rsid w:val="00B56B20"/>
    <w:rsid w:val="00B75366"/>
    <w:rsid w:val="00C71A3D"/>
    <w:rsid w:val="00CE62F7"/>
    <w:rsid w:val="00D434DA"/>
    <w:rsid w:val="00E13F65"/>
    <w:rsid w:val="00EF2959"/>
    <w:rsid w:val="00F36DC8"/>
    <w:rsid w:val="00F62EAF"/>
    <w:rsid w:val="18BFB538"/>
    <w:rsid w:val="3ABE3A12"/>
    <w:rsid w:val="5972F81B"/>
    <w:rsid w:val="5D7EA438"/>
    <w:rsid w:val="65FE931F"/>
    <w:rsid w:val="677FC794"/>
    <w:rsid w:val="6EFFB9EA"/>
    <w:rsid w:val="78FE481A"/>
    <w:rsid w:val="7B4F843B"/>
    <w:rsid w:val="7FDE09DE"/>
    <w:rsid w:val="7FF975A6"/>
    <w:rsid w:val="7FFC944E"/>
    <w:rsid w:val="7FFEB587"/>
    <w:rsid w:val="B7EF85FB"/>
    <w:rsid w:val="E6FB2505"/>
    <w:rsid w:val="F4FB19C2"/>
    <w:rsid w:val="F6EFB7FE"/>
    <w:rsid w:val="F79FE5DD"/>
    <w:rsid w:val="FD7A3ED6"/>
    <w:rsid w:val="FDCBE58F"/>
    <w:rsid w:val="FF3CC9AA"/>
    <w:rsid w:val="FFFA9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960</Words>
  <Characters>5476</Characters>
  <Lines>45</Lines>
  <Paragraphs>12</Paragraphs>
  <TotalTime>20</TotalTime>
  <ScaleCrop>false</ScaleCrop>
  <LinksUpToDate>false</LinksUpToDate>
  <CharactersWithSpaces>6424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2025-09-28T17:18:00Z</dcterms:created>
  <dc:creator>silver</dc:creator>
  <cp:lastModifiedBy>gogogo</cp:lastModifiedBy>
  <dcterms:modified xsi:type="dcterms:W3CDTF">2025-10-31T15:27:29Z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